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AA9CF" w14:textId="77777777" w:rsidR="00B06AE0" w:rsidRDefault="00B06AE0" w:rsidP="00B06AE0">
      <w:pPr>
        <w:rPr>
          <w:rFonts w:ascii="Arial" w:hAnsi="Arial" w:cs="Arial"/>
          <w:b/>
          <w:sz w:val="28"/>
          <w:szCs w:val="28"/>
        </w:rPr>
      </w:pPr>
    </w:p>
    <w:p w14:paraId="275123BF" w14:textId="77777777" w:rsidR="00B06AE0" w:rsidRPr="00797CAA" w:rsidRDefault="00B06AE0" w:rsidP="00B06AE0">
      <w:pPr>
        <w:pBdr>
          <w:top w:val="single" w:sz="4" w:space="1" w:color="4F81BD"/>
          <w:left w:val="single" w:sz="4" w:space="4" w:color="4F81BD"/>
          <w:bottom w:val="single" w:sz="4" w:space="1" w:color="4F81BD"/>
          <w:right w:val="single" w:sz="4" w:space="4" w:color="4F81BD"/>
        </w:pBdr>
        <w:spacing w:before="120" w:after="120"/>
        <w:rPr>
          <w:rFonts w:ascii="Arial" w:hAnsi="Arial"/>
          <w:color w:val="4F81BD"/>
        </w:rPr>
      </w:pPr>
      <w:r w:rsidRPr="00797CAA">
        <w:rPr>
          <w:rFonts w:ascii="Arial" w:hAnsi="Arial"/>
          <w:color w:val="4F81BD"/>
        </w:rPr>
        <w:t>General Welfare Requirement: Safeguarding and Promoting Children’s Welfare</w:t>
      </w:r>
    </w:p>
    <w:p w14:paraId="6ED51D0B" w14:textId="77777777" w:rsidR="00B06AE0" w:rsidRPr="00400D6C" w:rsidRDefault="00B06AE0" w:rsidP="00B06AE0">
      <w:pPr>
        <w:pBdr>
          <w:top w:val="single" w:sz="4" w:space="1" w:color="4F81BD"/>
          <w:left w:val="single" w:sz="4" w:space="4" w:color="4F81BD"/>
          <w:bottom w:val="single" w:sz="4" w:space="1" w:color="4F81BD"/>
          <w:right w:val="single" w:sz="4" w:space="4" w:color="4F81BD"/>
        </w:pBdr>
        <w:spacing w:before="120" w:after="120"/>
        <w:rPr>
          <w:rFonts w:ascii="Arial" w:hAnsi="Arial"/>
          <w:color w:val="4F81BD"/>
        </w:rPr>
      </w:pPr>
      <w:r w:rsidRPr="00400D6C">
        <w:rPr>
          <w:rFonts w:ascii="Arial" w:hAnsi="Arial"/>
          <w:color w:val="4F81BD"/>
        </w:rPr>
        <w:t xml:space="preserve">The provider must take necessary steps to safeguard and promote </w:t>
      </w:r>
      <w:r>
        <w:rPr>
          <w:rFonts w:ascii="Arial" w:hAnsi="Arial"/>
          <w:color w:val="4F81BD"/>
        </w:rPr>
        <w:t xml:space="preserve">the </w:t>
      </w:r>
      <w:r w:rsidRPr="00400D6C">
        <w:rPr>
          <w:rFonts w:ascii="Arial" w:hAnsi="Arial"/>
          <w:color w:val="4F81BD"/>
        </w:rPr>
        <w:t>welfare of children.</w:t>
      </w:r>
    </w:p>
    <w:p w14:paraId="00C813DB" w14:textId="77777777" w:rsidR="00B06AE0" w:rsidRDefault="00B06AE0" w:rsidP="00B06AE0">
      <w:pPr>
        <w:spacing w:line="360" w:lineRule="auto"/>
        <w:rPr>
          <w:rFonts w:ascii="Arial" w:hAnsi="Arial"/>
          <w:b/>
        </w:rPr>
      </w:pPr>
      <w:r w:rsidRPr="001C2C0D">
        <w:rPr>
          <w:rFonts w:ascii="Arial" w:eastAsia="Calibri" w:hAnsi="Arial" w:cs="Arial"/>
          <w:b/>
          <w:sz w:val="28"/>
          <w:szCs w:val="28"/>
        </w:rPr>
        <w:t>Maintaining children’s safety</w:t>
      </w:r>
      <w:r>
        <w:rPr>
          <w:rFonts w:ascii="Arial" w:hAnsi="Arial" w:cs="Arial"/>
          <w:b/>
          <w:sz w:val="28"/>
          <w:szCs w:val="28"/>
        </w:rPr>
        <w:t xml:space="preserve"> whilst not at the setting</w:t>
      </w:r>
    </w:p>
    <w:p w14:paraId="39880891" w14:textId="075EE2E3" w:rsidR="00B06AE0" w:rsidRPr="00F34989" w:rsidRDefault="00B06AE0" w:rsidP="00B06AE0">
      <w:pPr>
        <w:spacing w:line="360" w:lineRule="auto"/>
        <w:rPr>
          <w:rFonts w:ascii="Arial" w:hAnsi="Arial" w:cs="Arial"/>
          <w:b/>
          <w:sz w:val="28"/>
          <w:szCs w:val="28"/>
        </w:rPr>
      </w:pPr>
      <w:r>
        <w:rPr>
          <w:rFonts w:ascii="Arial" w:eastAsia="Calibri" w:hAnsi="Arial" w:cs="Arial"/>
          <w:b/>
          <w:sz w:val="28"/>
          <w:szCs w:val="28"/>
        </w:rPr>
        <w:t>1.1</w:t>
      </w:r>
      <w:r w:rsidR="000125DF">
        <w:rPr>
          <w:rFonts w:ascii="Arial" w:eastAsia="Calibri" w:hAnsi="Arial" w:cs="Arial"/>
          <w:b/>
          <w:sz w:val="28"/>
          <w:szCs w:val="28"/>
        </w:rPr>
        <w:t>5</w:t>
      </w:r>
      <w:r>
        <w:rPr>
          <w:rFonts w:ascii="Arial" w:eastAsia="Calibri" w:hAnsi="Arial" w:cs="Arial"/>
          <w:b/>
          <w:sz w:val="28"/>
          <w:szCs w:val="28"/>
        </w:rPr>
        <w:t xml:space="preserve"> Safeguarding</w:t>
      </w:r>
      <w:r w:rsidRPr="00E86F35">
        <w:rPr>
          <w:rFonts w:ascii="Arial" w:eastAsia="Calibri" w:hAnsi="Arial" w:cs="Arial"/>
          <w:b/>
          <w:sz w:val="28"/>
          <w:szCs w:val="28"/>
        </w:rPr>
        <w:t xml:space="preserve"> </w:t>
      </w:r>
      <w:r>
        <w:rPr>
          <w:rFonts w:ascii="Arial" w:hAnsi="Arial" w:cs="Arial"/>
          <w:b/>
          <w:sz w:val="28"/>
          <w:szCs w:val="28"/>
        </w:rPr>
        <w:t>C</w:t>
      </w:r>
      <w:r w:rsidRPr="00E86F35">
        <w:rPr>
          <w:rFonts w:ascii="Arial" w:eastAsia="Calibri" w:hAnsi="Arial" w:cs="Arial"/>
          <w:b/>
          <w:sz w:val="28"/>
          <w:szCs w:val="28"/>
        </w:rPr>
        <w:t>hildren</w:t>
      </w:r>
      <w:r w:rsidRPr="00E86F35">
        <w:rPr>
          <w:rFonts w:ascii="Arial" w:hAnsi="Arial" w:cs="Arial"/>
          <w:b/>
          <w:sz w:val="28"/>
          <w:szCs w:val="28"/>
        </w:rPr>
        <w:t>: Babysitting Policy</w:t>
      </w:r>
    </w:p>
    <w:p w14:paraId="32BD84DF" w14:textId="77777777" w:rsidR="00B06AE0" w:rsidRDefault="00B06AE0" w:rsidP="00B06AE0">
      <w:pPr>
        <w:spacing w:line="360" w:lineRule="auto"/>
        <w:rPr>
          <w:rFonts w:ascii="Arial" w:eastAsia="Calibri" w:hAnsi="Arial" w:cs="Times New Roman"/>
          <w:b/>
        </w:rPr>
      </w:pPr>
      <w:r>
        <w:rPr>
          <w:rFonts w:ascii="Arial" w:eastAsia="Calibri" w:hAnsi="Arial" w:cs="Times New Roman"/>
          <w:b/>
        </w:rPr>
        <w:t>EYFS k</w:t>
      </w:r>
      <w:r w:rsidRPr="00D56E03">
        <w:rPr>
          <w:rFonts w:ascii="Arial" w:eastAsia="Calibri" w:hAnsi="Arial" w:cs="Times New Roman"/>
          <w:b/>
        </w:rPr>
        <w:t>ey themes and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B06AE0" w:rsidRPr="0021012E" w14:paraId="2FCBBAF6" w14:textId="77777777" w:rsidTr="003E400B">
        <w:tc>
          <w:tcPr>
            <w:tcW w:w="1250" w:type="pct"/>
            <w:shd w:val="clear" w:color="auto" w:fill="DAEEF3" w:themeFill="accent5" w:themeFillTint="33"/>
          </w:tcPr>
          <w:p w14:paraId="2B9F273F" w14:textId="77777777" w:rsidR="00B06AE0" w:rsidRPr="003E400B" w:rsidRDefault="00B06AE0" w:rsidP="004F4948">
            <w:pPr>
              <w:pStyle w:val="ListParagraph"/>
              <w:spacing w:line="360" w:lineRule="auto"/>
              <w:ind w:left="0"/>
              <w:rPr>
                <w:rFonts w:ascii="Arial" w:hAnsi="Arial" w:cs="Arial"/>
                <w:b/>
                <w:color w:val="000000" w:themeColor="text1"/>
                <w:sz w:val="18"/>
                <w:szCs w:val="18"/>
              </w:rPr>
            </w:pPr>
            <w:r w:rsidRPr="003E400B">
              <w:rPr>
                <w:rFonts w:ascii="Arial" w:hAnsi="Arial" w:cs="Arial"/>
                <w:b/>
                <w:color w:val="000000" w:themeColor="text1"/>
                <w:sz w:val="18"/>
                <w:szCs w:val="18"/>
              </w:rPr>
              <w:t>A Unique Child</w:t>
            </w:r>
          </w:p>
        </w:tc>
        <w:tc>
          <w:tcPr>
            <w:tcW w:w="1250" w:type="pct"/>
            <w:shd w:val="clear" w:color="auto" w:fill="EAF1DD" w:themeFill="accent3" w:themeFillTint="33"/>
          </w:tcPr>
          <w:p w14:paraId="13B15343" w14:textId="77777777" w:rsidR="00B06AE0" w:rsidRPr="003E400B" w:rsidRDefault="00B06AE0" w:rsidP="004F4948">
            <w:pPr>
              <w:pStyle w:val="ListParagraph"/>
              <w:spacing w:line="360" w:lineRule="auto"/>
              <w:ind w:left="0"/>
              <w:rPr>
                <w:rFonts w:ascii="Arial" w:hAnsi="Arial" w:cs="Arial"/>
                <w:b/>
                <w:color w:val="000000" w:themeColor="text1"/>
                <w:sz w:val="18"/>
                <w:szCs w:val="18"/>
              </w:rPr>
            </w:pPr>
            <w:r w:rsidRPr="003E400B">
              <w:rPr>
                <w:rFonts w:ascii="Arial" w:hAnsi="Arial" w:cs="Arial"/>
                <w:b/>
                <w:color w:val="000000" w:themeColor="text1"/>
                <w:sz w:val="18"/>
                <w:szCs w:val="18"/>
              </w:rPr>
              <w:t>Positive Relationships</w:t>
            </w:r>
          </w:p>
        </w:tc>
        <w:tc>
          <w:tcPr>
            <w:tcW w:w="1250" w:type="pct"/>
            <w:shd w:val="clear" w:color="auto" w:fill="FDE9D9" w:themeFill="accent6" w:themeFillTint="33"/>
          </w:tcPr>
          <w:p w14:paraId="14D3EDBC" w14:textId="77777777" w:rsidR="00B06AE0" w:rsidRPr="003E400B" w:rsidRDefault="00B06AE0" w:rsidP="004F4948">
            <w:pPr>
              <w:spacing w:line="360" w:lineRule="auto"/>
              <w:rPr>
                <w:rFonts w:ascii="Arial" w:eastAsia="Calibri" w:hAnsi="Arial" w:cs="Arial"/>
                <w:b/>
                <w:color w:val="000000" w:themeColor="text1"/>
                <w:sz w:val="18"/>
                <w:szCs w:val="18"/>
              </w:rPr>
            </w:pPr>
            <w:r w:rsidRPr="003E400B">
              <w:rPr>
                <w:rFonts w:ascii="Arial" w:eastAsia="Calibri" w:hAnsi="Arial" w:cs="Arial"/>
                <w:b/>
                <w:color w:val="000000" w:themeColor="text1"/>
                <w:sz w:val="18"/>
                <w:szCs w:val="18"/>
              </w:rPr>
              <w:t>Enabling Environments</w:t>
            </w:r>
          </w:p>
        </w:tc>
        <w:tc>
          <w:tcPr>
            <w:tcW w:w="1250" w:type="pct"/>
            <w:shd w:val="clear" w:color="auto" w:fill="F2DBDB" w:themeFill="accent2" w:themeFillTint="33"/>
          </w:tcPr>
          <w:p w14:paraId="21540836" w14:textId="77777777" w:rsidR="00B06AE0" w:rsidRPr="003E400B" w:rsidRDefault="00B06AE0" w:rsidP="004F4948">
            <w:pPr>
              <w:pStyle w:val="ListParagraph"/>
              <w:spacing w:line="360" w:lineRule="auto"/>
              <w:ind w:left="0"/>
              <w:rPr>
                <w:rFonts w:ascii="Arial" w:hAnsi="Arial" w:cs="Arial"/>
                <w:b/>
                <w:color w:val="000000" w:themeColor="text1"/>
                <w:sz w:val="18"/>
                <w:szCs w:val="18"/>
              </w:rPr>
            </w:pPr>
            <w:r w:rsidRPr="003E400B">
              <w:rPr>
                <w:rFonts w:ascii="Arial" w:hAnsi="Arial" w:cs="Arial"/>
                <w:b/>
                <w:color w:val="000000" w:themeColor="text1"/>
                <w:sz w:val="18"/>
                <w:szCs w:val="18"/>
              </w:rPr>
              <w:t>Learning and Development</w:t>
            </w:r>
          </w:p>
        </w:tc>
      </w:tr>
      <w:tr w:rsidR="00B06AE0" w:rsidRPr="00961909" w14:paraId="38B7D367" w14:textId="77777777" w:rsidTr="003E400B">
        <w:tc>
          <w:tcPr>
            <w:tcW w:w="1250" w:type="pct"/>
            <w:shd w:val="clear" w:color="auto" w:fill="DAEEF3" w:themeFill="accent5" w:themeFillTint="33"/>
          </w:tcPr>
          <w:p w14:paraId="35D043D0" w14:textId="77777777" w:rsidR="00B06AE0" w:rsidRPr="003E400B" w:rsidRDefault="00B06AE0" w:rsidP="004F4948">
            <w:pPr>
              <w:pStyle w:val="ListParagraph"/>
              <w:spacing w:line="360" w:lineRule="auto"/>
              <w:ind w:left="360" w:hanging="360"/>
              <w:rPr>
                <w:rFonts w:ascii="Arial" w:hAnsi="Arial" w:cs="Arial"/>
                <w:color w:val="000000" w:themeColor="text1"/>
                <w:sz w:val="18"/>
                <w:szCs w:val="18"/>
              </w:rPr>
            </w:pPr>
            <w:r w:rsidRPr="003E400B">
              <w:rPr>
                <w:rFonts w:ascii="Arial" w:hAnsi="Arial" w:cs="Arial"/>
                <w:color w:val="000000" w:themeColor="text1"/>
                <w:sz w:val="18"/>
                <w:szCs w:val="18"/>
              </w:rPr>
              <w:t>1.3 Keeping safe</w:t>
            </w:r>
          </w:p>
        </w:tc>
        <w:tc>
          <w:tcPr>
            <w:tcW w:w="1250" w:type="pct"/>
            <w:shd w:val="clear" w:color="auto" w:fill="EAF1DD" w:themeFill="accent3" w:themeFillTint="33"/>
          </w:tcPr>
          <w:p w14:paraId="11C6513E" w14:textId="77777777" w:rsidR="00B06AE0" w:rsidRPr="003E400B" w:rsidRDefault="00B06AE0" w:rsidP="004F4948">
            <w:pPr>
              <w:pStyle w:val="ListParagraph"/>
              <w:spacing w:line="360" w:lineRule="auto"/>
              <w:ind w:left="360" w:hanging="360"/>
              <w:rPr>
                <w:rFonts w:ascii="Arial" w:hAnsi="Arial" w:cs="Arial"/>
                <w:color w:val="000000" w:themeColor="text1"/>
                <w:sz w:val="18"/>
                <w:szCs w:val="18"/>
              </w:rPr>
            </w:pPr>
            <w:r w:rsidRPr="003E400B">
              <w:rPr>
                <w:rFonts w:ascii="Arial" w:hAnsi="Arial" w:cs="Arial"/>
                <w:color w:val="000000" w:themeColor="text1"/>
                <w:sz w:val="18"/>
                <w:szCs w:val="18"/>
              </w:rPr>
              <w:t>2.2 Parents as partners</w:t>
            </w:r>
          </w:p>
        </w:tc>
        <w:tc>
          <w:tcPr>
            <w:tcW w:w="1250" w:type="pct"/>
            <w:shd w:val="clear" w:color="auto" w:fill="FDE9D9" w:themeFill="accent6" w:themeFillTint="33"/>
          </w:tcPr>
          <w:p w14:paraId="0027605D" w14:textId="77777777" w:rsidR="00B06AE0" w:rsidRPr="003E400B" w:rsidRDefault="00B06AE0" w:rsidP="004F4948">
            <w:pPr>
              <w:spacing w:line="360" w:lineRule="auto"/>
              <w:ind w:left="360" w:hanging="360"/>
              <w:rPr>
                <w:rFonts w:ascii="Arial" w:eastAsia="Calibri" w:hAnsi="Arial" w:cs="Arial"/>
                <w:color w:val="000000" w:themeColor="text1"/>
                <w:sz w:val="18"/>
                <w:szCs w:val="18"/>
              </w:rPr>
            </w:pPr>
          </w:p>
        </w:tc>
        <w:tc>
          <w:tcPr>
            <w:tcW w:w="1250" w:type="pct"/>
            <w:shd w:val="clear" w:color="auto" w:fill="F2DBDB" w:themeFill="accent2" w:themeFillTint="33"/>
          </w:tcPr>
          <w:p w14:paraId="01A8830A" w14:textId="77777777" w:rsidR="00B06AE0" w:rsidRPr="003E400B" w:rsidRDefault="00B06AE0" w:rsidP="004F4948">
            <w:pPr>
              <w:pStyle w:val="ListParagraph"/>
              <w:spacing w:line="360" w:lineRule="auto"/>
              <w:ind w:left="360" w:hanging="360"/>
              <w:rPr>
                <w:rFonts w:ascii="Arial" w:hAnsi="Arial" w:cs="Arial"/>
                <w:color w:val="000000" w:themeColor="text1"/>
                <w:sz w:val="18"/>
                <w:szCs w:val="18"/>
              </w:rPr>
            </w:pPr>
          </w:p>
        </w:tc>
      </w:tr>
    </w:tbl>
    <w:p w14:paraId="7F35E42D" w14:textId="77777777" w:rsidR="00B06AE0" w:rsidRPr="00436BE7" w:rsidRDefault="00B06AE0" w:rsidP="00B06AE0">
      <w:pPr>
        <w:rPr>
          <w:b/>
        </w:rPr>
      </w:pPr>
    </w:p>
    <w:p w14:paraId="11E1F320" w14:textId="22760EC8" w:rsidR="00B06AE0" w:rsidRPr="000C3BC7" w:rsidRDefault="00B06AE0" w:rsidP="00F34989">
      <w:pPr>
        <w:spacing w:line="360" w:lineRule="auto"/>
        <w:jc w:val="both"/>
        <w:rPr>
          <w:rFonts w:ascii="Arial" w:hAnsi="Arial" w:cs="Arial"/>
        </w:rPr>
      </w:pPr>
      <w:r w:rsidRPr="000C3BC7">
        <w:rPr>
          <w:rFonts w:ascii="Arial" w:hAnsi="Arial" w:cs="Arial"/>
        </w:rPr>
        <w:t xml:space="preserve">There have been occasions when early years practitioners are asked </w:t>
      </w:r>
      <w:r>
        <w:rPr>
          <w:rFonts w:ascii="Arial" w:hAnsi="Arial" w:cs="Arial"/>
        </w:rPr>
        <w:t>to babysit</w:t>
      </w:r>
      <w:r w:rsidRPr="000C3BC7">
        <w:rPr>
          <w:rFonts w:ascii="Arial" w:hAnsi="Arial" w:cs="Arial"/>
        </w:rPr>
        <w:t xml:space="preserve"> </w:t>
      </w:r>
      <w:r>
        <w:rPr>
          <w:rFonts w:ascii="Arial" w:hAnsi="Arial" w:cs="Arial"/>
        </w:rPr>
        <w:t xml:space="preserve">children that they care for at the setting; therefore we would like to clarify </w:t>
      </w:r>
      <w:r w:rsidRPr="000C3BC7">
        <w:rPr>
          <w:rFonts w:ascii="Arial" w:hAnsi="Arial" w:cs="Arial"/>
        </w:rPr>
        <w:t>some points regarding private arrangements between staff and parents/carers. St. Johns Playgroup will not be responsible for any private arrangements or agreements that are made</w:t>
      </w:r>
      <w:r>
        <w:rPr>
          <w:rFonts w:ascii="Arial" w:hAnsi="Arial" w:cs="Arial"/>
        </w:rPr>
        <w:t>, these are</w:t>
      </w:r>
      <w:r w:rsidRPr="000C3BC7">
        <w:rPr>
          <w:rFonts w:ascii="Arial" w:hAnsi="Arial" w:cs="Arial"/>
        </w:rPr>
        <w:t>. Out of hours work arrangements must not interfere with a staff member’s employment at the</w:t>
      </w:r>
      <w:r>
        <w:rPr>
          <w:rFonts w:ascii="Arial" w:hAnsi="Arial" w:cs="Arial"/>
        </w:rPr>
        <w:t xml:space="preserve"> setting</w:t>
      </w:r>
      <w:r w:rsidRPr="000C3BC7">
        <w:rPr>
          <w:rFonts w:ascii="Arial" w:hAnsi="Arial" w:cs="Arial"/>
        </w:rPr>
        <w:t xml:space="preserve">. Confidentiality of employment must be adhered to and respected. Parents should be aware that other adults accompanying the baby sitter may not have the relevant Criminal Records Bureau clearance, and it may not be appropriate for them to care for children. St. Johns Playgroup will not be held responsible for any health and safety or other issues that may arise from these private arrangements. St. Johns Playgroup has a duty to safeguard all children whilst on our premises and in the care of our staff, but this duty does not extend to private arrangements between staff and parents/carers outside of </w:t>
      </w:r>
      <w:r>
        <w:rPr>
          <w:rFonts w:ascii="Arial" w:hAnsi="Arial" w:cs="Arial"/>
        </w:rPr>
        <w:t xml:space="preserve">playgroup hours. The DBS </w:t>
      </w:r>
      <w:r w:rsidRPr="000C3BC7">
        <w:rPr>
          <w:rFonts w:ascii="Arial" w:hAnsi="Arial" w:cs="Arial"/>
        </w:rPr>
        <w:t>checks carried out by St. Johns Playgroup are only relevant to the setting and OFSTED.</w:t>
      </w:r>
    </w:p>
    <w:tbl>
      <w:tblPr>
        <w:tblpPr w:leftFromText="180" w:rightFromText="180" w:vertAnchor="text" w:horzAnchor="margin" w:tblpY="331"/>
        <w:tblW w:w="5000" w:type="pct"/>
        <w:tblLook w:val="01E0" w:firstRow="1" w:lastRow="1" w:firstColumn="1" w:lastColumn="1" w:noHBand="0" w:noVBand="0"/>
      </w:tblPr>
      <w:tblGrid>
        <w:gridCol w:w="4253"/>
        <w:gridCol w:w="3220"/>
        <w:gridCol w:w="1769"/>
      </w:tblGrid>
      <w:tr w:rsidR="00B06AE0" w:rsidRPr="000C3BC7" w14:paraId="11C7253A" w14:textId="77777777" w:rsidTr="004F4948">
        <w:tc>
          <w:tcPr>
            <w:tcW w:w="2301" w:type="pct"/>
          </w:tcPr>
          <w:p w14:paraId="2438BE63" w14:textId="77777777" w:rsidR="00B06AE0" w:rsidRPr="000C3BC7" w:rsidRDefault="00B06AE0" w:rsidP="004F4948">
            <w:pPr>
              <w:spacing w:line="360" w:lineRule="auto"/>
              <w:rPr>
                <w:rFonts w:ascii="Arial" w:eastAsia="Calibri" w:hAnsi="Arial" w:cs="Arial"/>
              </w:rPr>
            </w:pPr>
            <w:r w:rsidRPr="000C3BC7">
              <w:rPr>
                <w:rFonts w:ascii="Arial" w:eastAsia="Calibri" w:hAnsi="Arial" w:cs="Arial"/>
              </w:rPr>
              <w:t>This policy was adopted at a meeting of</w:t>
            </w:r>
          </w:p>
        </w:tc>
        <w:tc>
          <w:tcPr>
            <w:tcW w:w="1742" w:type="pct"/>
            <w:tcBorders>
              <w:bottom w:val="single" w:sz="4" w:space="0" w:color="4F81BD"/>
            </w:tcBorders>
            <w:shd w:val="clear" w:color="auto" w:fill="auto"/>
          </w:tcPr>
          <w:p w14:paraId="2FEC9270" w14:textId="77D1278E" w:rsidR="00B06AE0" w:rsidRPr="00F34989" w:rsidRDefault="00B06AE0" w:rsidP="004F4948">
            <w:pPr>
              <w:spacing w:line="360" w:lineRule="auto"/>
              <w:rPr>
                <w:rFonts w:ascii="Arial" w:eastAsia="Calibri" w:hAnsi="Arial" w:cs="Arial"/>
                <w:sz w:val="16"/>
                <w:szCs w:val="16"/>
              </w:rPr>
            </w:pPr>
            <w:r w:rsidRPr="00F34989">
              <w:rPr>
                <w:rFonts w:ascii="Arial" w:hAnsi="Arial" w:cs="Arial"/>
                <w:sz w:val="16"/>
                <w:szCs w:val="16"/>
              </w:rPr>
              <w:t>Sandbach Heath (St.</w:t>
            </w:r>
            <w:r w:rsidR="00F34989">
              <w:rPr>
                <w:rFonts w:ascii="Arial" w:hAnsi="Arial" w:cs="Arial"/>
                <w:sz w:val="16"/>
                <w:szCs w:val="16"/>
              </w:rPr>
              <w:t xml:space="preserve"> </w:t>
            </w:r>
            <w:r w:rsidRPr="00F34989">
              <w:rPr>
                <w:rFonts w:ascii="Arial" w:hAnsi="Arial" w:cs="Arial"/>
                <w:sz w:val="16"/>
                <w:szCs w:val="16"/>
              </w:rPr>
              <w:t>John’s) Playgroup</w:t>
            </w:r>
          </w:p>
        </w:tc>
        <w:tc>
          <w:tcPr>
            <w:tcW w:w="957" w:type="pct"/>
          </w:tcPr>
          <w:p w14:paraId="21BAAE8D" w14:textId="77777777" w:rsidR="00B06AE0" w:rsidRPr="000C3BC7" w:rsidRDefault="00B06AE0" w:rsidP="004F4948">
            <w:pPr>
              <w:spacing w:line="360" w:lineRule="auto"/>
              <w:rPr>
                <w:rFonts w:ascii="Arial" w:eastAsia="Calibri" w:hAnsi="Arial" w:cs="Arial"/>
              </w:rPr>
            </w:pPr>
            <w:r w:rsidRPr="000C3BC7">
              <w:rPr>
                <w:rFonts w:ascii="Arial" w:eastAsia="Calibri" w:hAnsi="Arial" w:cs="Arial"/>
              </w:rPr>
              <w:t>name of setting</w:t>
            </w:r>
          </w:p>
        </w:tc>
      </w:tr>
      <w:tr w:rsidR="00B06AE0" w:rsidRPr="000C3BC7" w14:paraId="5B6BE075" w14:textId="77777777" w:rsidTr="004F4948">
        <w:tc>
          <w:tcPr>
            <w:tcW w:w="2301" w:type="pct"/>
          </w:tcPr>
          <w:p w14:paraId="1FEBD8EC" w14:textId="77777777" w:rsidR="00B06AE0" w:rsidRPr="000C3BC7" w:rsidRDefault="00B06AE0" w:rsidP="004F4948">
            <w:pPr>
              <w:spacing w:line="360" w:lineRule="auto"/>
              <w:rPr>
                <w:rFonts w:ascii="Arial" w:eastAsia="Calibri" w:hAnsi="Arial" w:cs="Arial"/>
              </w:rPr>
            </w:pPr>
            <w:r w:rsidRPr="000C3BC7">
              <w:rPr>
                <w:rFonts w:ascii="Arial" w:eastAsia="Calibri" w:hAnsi="Arial" w:cs="Arial"/>
              </w:rPr>
              <w:t>Held on</w:t>
            </w:r>
          </w:p>
        </w:tc>
        <w:tc>
          <w:tcPr>
            <w:tcW w:w="1742" w:type="pct"/>
            <w:tcBorders>
              <w:top w:val="single" w:sz="4" w:space="0" w:color="4F81BD"/>
              <w:bottom w:val="single" w:sz="4" w:space="0" w:color="4F81BD"/>
            </w:tcBorders>
          </w:tcPr>
          <w:p w14:paraId="35ED87B6" w14:textId="77777777" w:rsidR="00B06AE0" w:rsidRPr="000C3BC7" w:rsidRDefault="00B06AE0" w:rsidP="004F4948">
            <w:pPr>
              <w:spacing w:line="360" w:lineRule="auto"/>
              <w:rPr>
                <w:rFonts w:ascii="Arial" w:eastAsia="Calibri" w:hAnsi="Arial" w:cs="Arial"/>
              </w:rPr>
            </w:pPr>
          </w:p>
        </w:tc>
        <w:tc>
          <w:tcPr>
            <w:tcW w:w="957" w:type="pct"/>
          </w:tcPr>
          <w:p w14:paraId="747C30DF" w14:textId="77777777" w:rsidR="00B06AE0" w:rsidRPr="000C3BC7" w:rsidRDefault="00B06AE0" w:rsidP="004F4948">
            <w:pPr>
              <w:spacing w:line="360" w:lineRule="auto"/>
              <w:rPr>
                <w:rFonts w:ascii="Arial" w:eastAsia="Calibri" w:hAnsi="Arial" w:cs="Arial"/>
              </w:rPr>
            </w:pPr>
            <w:r w:rsidRPr="000C3BC7">
              <w:rPr>
                <w:rFonts w:ascii="Arial" w:eastAsia="Calibri" w:hAnsi="Arial" w:cs="Arial"/>
              </w:rPr>
              <w:t>(date)</w:t>
            </w:r>
          </w:p>
        </w:tc>
      </w:tr>
      <w:tr w:rsidR="00B06AE0" w:rsidRPr="000C3BC7" w14:paraId="263C9BA2" w14:textId="77777777" w:rsidTr="004F4948">
        <w:tc>
          <w:tcPr>
            <w:tcW w:w="2301" w:type="pct"/>
          </w:tcPr>
          <w:p w14:paraId="548ED5AC" w14:textId="77777777" w:rsidR="00B06AE0" w:rsidRPr="000C3BC7" w:rsidRDefault="00B06AE0" w:rsidP="004F4948">
            <w:pPr>
              <w:spacing w:line="360" w:lineRule="auto"/>
              <w:rPr>
                <w:rFonts w:ascii="Arial" w:eastAsia="Calibri" w:hAnsi="Arial" w:cs="Arial"/>
              </w:rPr>
            </w:pPr>
            <w:r w:rsidRPr="000C3BC7">
              <w:rPr>
                <w:rFonts w:ascii="Arial" w:eastAsia="Calibri" w:hAnsi="Arial" w:cs="Arial"/>
              </w:rPr>
              <w:t>Date to be reviewed</w:t>
            </w:r>
          </w:p>
        </w:tc>
        <w:tc>
          <w:tcPr>
            <w:tcW w:w="1742" w:type="pct"/>
            <w:tcBorders>
              <w:top w:val="single" w:sz="4" w:space="0" w:color="4F81BD"/>
              <w:bottom w:val="single" w:sz="4" w:space="0" w:color="4F81BD"/>
            </w:tcBorders>
          </w:tcPr>
          <w:p w14:paraId="06A81A47" w14:textId="77777777" w:rsidR="00B06AE0" w:rsidRPr="000C3BC7" w:rsidRDefault="00B06AE0" w:rsidP="004F4948">
            <w:pPr>
              <w:spacing w:line="360" w:lineRule="auto"/>
              <w:rPr>
                <w:rFonts w:ascii="Arial" w:eastAsia="Calibri" w:hAnsi="Arial" w:cs="Arial"/>
              </w:rPr>
            </w:pPr>
          </w:p>
        </w:tc>
        <w:tc>
          <w:tcPr>
            <w:tcW w:w="957" w:type="pct"/>
          </w:tcPr>
          <w:p w14:paraId="7A04D3C1" w14:textId="77777777" w:rsidR="00B06AE0" w:rsidRPr="000C3BC7" w:rsidRDefault="00B06AE0" w:rsidP="004F4948">
            <w:pPr>
              <w:spacing w:line="360" w:lineRule="auto"/>
              <w:rPr>
                <w:rFonts w:ascii="Arial" w:eastAsia="Calibri" w:hAnsi="Arial" w:cs="Arial"/>
              </w:rPr>
            </w:pPr>
            <w:r w:rsidRPr="000C3BC7">
              <w:rPr>
                <w:rFonts w:ascii="Arial" w:eastAsia="Calibri" w:hAnsi="Arial" w:cs="Arial"/>
              </w:rPr>
              <w:t>(date)</w:t>
            </w:r>
          </w:p>
        </w:tc>
      </w:tr>
      <w:tr w:rsidR="00B06AE0" w:rsidRPr="000C3BC7" w14:paraId="6AD9FE9E" w14:textId="77777777" w:rsidTr="004F4948">
        <w:tc>
          <w:tcPr>
            <w:tcW w:w="2301" w:type="pct"/>
          </w:tcPr>
          <w:p w14:paraId="7E2B6DE4" w14:textId="77777777" w:rsidR="00B06AE0" w:rsidRPr="000C3BC7" w:rsidRDefault="00B06AE0" w:rsidP="004F4948">
            <w:pPr>
              <w:spacing w:line="360" w:lineRule="auto"/>
              <w:rPr>
                <w:rFonts w:ascii="Arial" w:eastAsia="Calibri" w:hAnsi="Arial" w:cs="Arial"/>
              </w:rPr>
            </w:pPr>
            <w:r w:rsidRPr="000C3BC7">
              <w:rPr>
                <w:rFonts w:ascii="Arial" w:eastAsia="Calibri" w:hAnsi="Arial" w:cs="Arial"/>
              </w:rPr>
              <w:t>Signed on behalf of the management committee</w:t>
            </w:r>
          </w:p>
        </w:tc>
        <w:tc>
          <w:tcPr>
            <w:tcW w:w="2699" w:type="pct"/>
            <w:gridSpan w:val="2"/>
            <w:tcBorders>
              <w:bottom w:val="single" w:sz="4" w:space="0" w:color="4F81BD"/>
            </w:tcBorders>
          </w:tcPr>
          <w:p w14:paraId="6323AE13" w14:textId="77777777" w:rsidR="00B06AE0" w:rsidRPr="000C3BC7" w:rsidRDefault="00B06AE0" w:rsidP="004F4948">
            <w:pPr>
              <w:spacing w:line="360" w:lineRule="auto"/>
              <w:rPr>
                <w:rFonts w:ascii="Arial" w:eastAsia="Calibri" w:hAnsi="Arial" w:cs="Arial"/>
              </w:rPr>
            </w:pPr>
          </w:p>
        </w:tc>
      </w:tr>
      <w:tr w:rsidR="00B06AE0" w:rsidRPr="000C3BC7" w14:paraId="29EE7243"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809ECEF" w14:textId="77777777" w:rsidR="00B06AE0" w:rsidRPr="000C3BC7" w:rsidRDefault="00B06AE0" w:rsidP="004F4948">
            <w:pPr>
              <w:spacing w:line="360" w:lineRule="auto"/>
              <w:rPr>
                <w:rFonts w:ascii="Arial" w:eastAsia="Calibri" w:hAnsi="Arial" w:cs="Arial"/>
              </w:rPr>
            </w:pPr>
            <w:r w:rsidRPr="000C3BC7">
              <w:rPr>
                <w:rFonts w:ascii="Arial" w:eastAsia="Calibri" w:hAnsi="Arial" w:cs="Arial"/>
              </w:rPr>
              <w:t>Name of signatory</w:t>
            </w:r>
          </w:p>
        </w:tc>
        <w:tc>
          <w:tcPr>
            <w:tcW w:w="2699" w:type="pct"/>
            <w:gridSpan w:val="2"/>
            <w:tcBorders>
              <w:top w:val="single" w:sz="4" w:space="0" w:color="4F81BD"/>
              <w:left w:val="nil"/>
              <w:bottom w:val="single" w:sz="4" w:space="0" w:color="4F81BD"/>
              <w:right w:val="nil"/>
            </w:tcBorders>
          </w:tcPr>
          <w:p w14:paraId="3FD35847" w14:textId="77777777" w:rsidR="00B06AE0" w:rsidRPr="000C3BC7" w:rsidRDefault="00B06AE0" w:rsidP="004F4948">
            <w:pPr>
              <w:spacing w:line="360" w:lineRule="auto"/>
              <w:rPr>
                <w:rFonts w:ascii="Arial" w:eastAsia="Calibri" w:hAnsi="Arial" w:cs="Arial"/>
              </w:rPr>
            </w:pPr>
          </w:p>
        </w:tc>
      </w:tr>
      <w:tr w:rsidR="00B06AE0" w:rsidRPr="000C3BC7" w14:paraId="6BD7FEA3"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BA23F58" w14:textId="77777777" w:rsidR="00B06AE0" w:rsidRPr="000C3BC7" w:rsidRDefault="00B06AE0" w:rsidP="004F4948">
            <w:pPr>
              <w:spacing w:line="360" w:lineRule="auto"/>
              <w:rPr>
                <w:rFonts w:ascii="Arial" w:eastAsia="Calibri" w:hAnsi="Arial" w:cs="Arial"/>
              </w:rPr>
            </w:pPr>
            <w:r w:rsidRPr="000C3BC7">
              <w:rPr>
                <w:rFonts w:ascii="Arial" w:eastAsia="Calibri" w:hAnsi="Arial" w:cs="Arial"/>
              </w:rPr>
              <w:t>Role of signatory (e.g. chair/owner)</w:t>
            </w:r>
          </w:p>
        </w:tc>
        <w:tc>
          <w:tcPr>
            <w:tcW w:w="2699" w:type="pct"/>
            <w:gridSpan w:val="2"/>
            <w:tcBorders>
              <w:top w:val="single" w:sz="4" w:space="0" w:color="4F81BD"/>
              <w:left w:val="nil"/>
              <w:bottom w:val="single" w:sz="4" w:space="0" w:color="4F81BD"/>
              <w:right w:val="nil"/>
            </w:tcBorders>
          </w:tcPr>
          <w:p w14:paraId="5A64E5FD" w14:textId="77777777" w:rsidR="00B06AE0" w:rsidRPr="000C3BC7" w:rsidRDefault="00B06AE0" w:rsidP="004F4948">
            <w:pPr>
              <w:spacing w:line="360" w:lineRule="auto"/>
              <w:rPr>
                <w:rFonts w:ascii="Arial" w:eastAsia="Calibri" w:hAnsi="Arial" w:cs="Arial"/>
              </w:rPr>
            </w:pPr>
          </w:p>
        </w:tc>
      </w:tr>
    </w:tbl>
    <w:p w14:paraId="59692B6E" w14:textId="39FEF21D" w:rsidR="002F4C9B" w:rsidRDefault="002F4C9B">
      <w:r>
        <w:t>1.15</w:t>
      </w:r>
      <w:bookmarkStart w:id="0" w:name="_GoBack"/>
      <w:bookmarkEnd w:id="0"/>
    </w:p>
    <w:sectPr w:rsidR="002F4C9B" w:rsidSect="00F34989">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6AE0"/>
    <w:rsid w:val="000125DF"/>
    <w:rsid w:val="002F4C9B"/>
    <w:rsid w:val="003E400B"/>
    <w:rsid w:val="003F3601"/>
    <w:rsid w:val="00B06AE0"/>
    <w:rsid w:val="00F34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1DDC"/>
  <w15:docId w15:val="{9FBB7F02-0716-4A68-B1F5-D827B73F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E0"/>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5</cp:revision>
  <cp:lastPrinted>2022-07-27T09:53:00Z</cp:lastPrinted>
  <dcterms:created xsi:type="dcterms:W3CDTF">2017-04-12T10:21:00Z</dcterms:created>
  <dcterms:modified xsi:type="dcterms:W3CDTF">2022-07-27T09:53:00Z</dcterms:modified>
</cp:coreProperties>
</file>