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C27C1" w14:textId="77777777" w:rsidR="007479B8" w:rsidRDefault="007479B8" w:rsidP="007479B8">
      <w:pPr>
        <w:autoSpaceDE w:val="0"/>
        <w:autoSpaceDN w:val="0"/>
        <w:adjustRightInd w:val="0"/>
        <w:spacing w:after="0" w:line="240" w:lineRule="auto"/>
        <w:jc w:val="center"/>
        <w:rPr>
          <w:rFonts w:ascii="Arial" w:eastAsia="ArialMT" w:hAnsi="Arial" w:cs="Arial"/>
          <w:sz w:val="72"/>
          <w:szCs w:val="72"/>
        </w:rPr>
      </w:pPr>
    </w:p>
    <w:p w14:paraId="729DE975" w14:textId="77777777" w:rsidR="007479B8" w:rsidRDefault="007479B8" w:rsidP="007479B8">
      <w:pPr>
        <w:autoSpaceDE w:val="0"/>
        <w:autoSpaceDN w:val="0"/>
        <w:adjustRightInd w:val="0"/>
        <w:spacing w:after="0" w:line="240" w:lineRule="auto"/>
        <w:ind w:left="-426"/>
        <w:rPr>
          <w:rFonts w:ascii="Arial" w:eastAsia="ArialMT" w:hAnsi="Arial" w:cs="Arial"/>
          <w:sz w:val="72"/>
          <w:szCs w:val="72"/>
        </w:rPr>
      </w:pPr>
      <w:r w:rsidRPr="007479B8">
        <w:rPr>
          <w:rFonts w:ascii="Arial" w:eastAsia="ArialMT" w:hAnsi="Arial" w:cs="Arial"/>
          <w:noProof/>
          <w:sz w:val="72"/>
          <w:szCs w:val="72"/>
          <w:lang w:eastAsia="en-GB"/>
        </w:rPr>
        <w:drawing>
          <wp:inline distT="0" distB="0" distL="0" distR="0" wp14:anchorId="4D7DD641" wp14:editId="6F91486A">
            <wp:extent cx="6424951" cy="2536166"/>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twork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430600" cy="2538396"/>
                    </a:xfrm>
                    <a:prstGeom prst="rect">
                      <a:avLst/>
                    </a:prstGeom>
                  </pic:spPr>
                </pic:pic>
              </a:graphicData>
            </a:graphic>
          </wp:inline>
        </w:drawing>
      </w:r>
    </w:p>
    <w:p w14:paraId="2F121F3F" w14:textId="77777777" w:rsidR="007479B8" w:rsidRDefault="007479B8" w:rsidP="007479B8">
      <w:pPr>
        <w:autoSpaceDE w:val="0"/>
        <w:autoSpaceDN w:val="0"/>
        <w:adjustRightInd w:val="0"/>
        <w:spacing w:after="0" w:line="240" w:lineRule="auto"/>
        <w:jc w:val="center"/>
        <w:rPr>
          <w:rFonts w:ascii="Arial" w:eastAsia="ArialMT" w:hAnsi="Arial" w:cs="Arial"/>
          <w:sz w:val="72"/>
          <w:szCs w:val="72"/>
        </w:rPr>
      </w:pPr>
    </w:p>
    <w:p w14:paraId="65458389" w14:textId="77777777" w:rsidR="007479B8" w:rsidRDefault="007479B8" w:rsidP="007479B8">
      <w:pPr>
        <w:autoSpaceDE w:val="0"/>
        <w:autoSpaceDN w:val="0"/>
        <w:adjustRightInd w:val="0"/>
        <w:spacing w:after="0" w:line="240" w:lineRule="auto"/>
        <w:jc w:val="center"/>
        <w:rPr>
          <w:rFonts w:ascii="Arial" w:eastAsia="ArialMT" w:hAnsi="Arial" w:cs="Arial"/>
          <w:sz w:val="72"/>
          <w:szCs w:val="72"/>
        </w:rPr>
      </w:pPr>
    </w:p>
    <w:p w14:paraId="36D3FBD5" w14:textId="77777777" w:rsidR="007479B8" w:rsidRPr="00565222" w:rsidRDefault="007479B8" w:rsidP="007479B8">
      <w:pPr>
        <w:autoSpaceDE w:val="0"/>
        <w:autoSpaceDN w:val="0"/>
        <w:adjustRightInd w:val="0"/>
        <w:spacing w:after="0" w:line="240" w:lineRule="auto"/>
        <w:jc w:val="center"/>
        <w:rPr>
          <w:rFonts w:ascii="Arial" w:eastAsia="ArialMT" w:hAnsi="Arial" w:cs="Arial"/>
          <w:sz w:val="72"/>
          <w:szCs w:val="72"/>
        </w:rPr>
      </w:pPr>
      <w:r w:rsidRPr="00565222">
        <w:rPr>
          <w:rFonts w:ascii="Arial" w:eastAsia="ArialMT" w:hAnsi="Arial" w:cs="Arial"/>
          <w:sz w:val="72"/>
          <w:szCs w:val="72"/>
        </w:rPr>
        <w:t>Policies</w:t>
      </w:r>
    </w:p>
    <w:p w14:paraId="7D70E4C7" w14:textId="77777777" w:rsidR="007479B8" w:rsidRPr="00565222" w:rsidRDefault="007479B8" w:rsidP="007479B8">
      <w:pPr>
        <w:autoSpaceDE w:val="0"/>
        <w:autoSpaceDN w:val="0"/>
        <w:adjustRightInd w:val="0"/>
        <w:spacing w:after="0" w:line="240" w:lineRule="auto"/>
        <w:jc w:val="center"/>
        <w:rPr>
          <w:rFonts w:ascii="Arial" w:eastAsia="ArialMT" w:hAnsi="Arial" w:cs="Arial"/>
          <w:sz w:val="72"/>
          <w:szCs w:val="72"/>
        </w:rPr>
      </w:pPr>
      <w:r w:rsidRPr="00565222">
        <w:rPr>
          <w:rFonts w:ascii="Arial" w:eastAsia="ArialMT" w:hAnsi="Arial" w:cs="Arial"/>
          <w:sz w:val="72"/>
          <w:szCs w:val="72"/>
        </w:rPr>
        <w:t>&amp;</w:t>
      </w:r>
    </w:p>
    <w:p w14:paraId="6F05B4A7" w14:textId="77777777" w:rsidR="007479B8" w:rsidRDefault="007479B8" w:rsidP="007479B8">
      <w:pPr>
        <w:jc w:val="center"/>
        <w:rPr>
          <w:rFonts w:ascii="Arial" w:eastAsia="ArialMT" w:hAnsi="Arial" w:cs="Arial"/>
          <w:sz w:val="72"/>
          <w:szCs w:val="72"/>
        </w:rPr>
      </w:pPr>
      <w:r w:rsidRPr="00565222">
        <w:rPr>
          <w:rFonts w:ascii="Arial" w:eastAsia="ArialMT" w:hAnsi="Arial" w:cs="Arial"/>
          <w:sz w:val="72"/>
          <w:szCs w:val="72"/>
        </w:rPr>
        <w:t>Procedures</w:t>
      </w:r>
    </w:p>
    <w:p w14:paraId="48F06F5E" w14:textId="77777777" w:rsidR="007479B8" w:rsidRDefault="007479B8" w:rsidP="007479B8">
      <w:pPr>
        <w:jc w:val="center"/>
        <w:rPr>
          <w:rFonts w:ascii="Arial" w:eastAsia="ArialMT" w:hAnsi="Arial" w:cs="Arial"/>
          <w:sz w:val="28"/>
          <w:szCs w:val="28"/>
        </w:rPr>
      </w:pPr>
      <w:r w:rsidRPr="00565222">
        <w:rPr>
          <w:rFonts w:ascii="Arial" w:eastAsia="ArialMT" w:hAnsi="Arial" w:cs="Arial"/>
          <w:sz w:val="28"/>
          <w:szCs w:val="28"/>
        </w:rPr>
        <w:t>Tel</w:t>
      </w:r>
      <w:r>
        <w:rPr>
          <w:rFonts w:ascii="Arial" w:eastAsia="ArialMT" w:hAnsi="Arial" w:cs="Arial"/>
          <w:sz w:val="28"/>
          <w:szCs w:val="28"/>
        </w:rPr>
        <w:t>ephone 01270 761505</w:t>
      </w:r>
    </w:p>
    <w:p w14:paraId="4AED3700" w14:textId="77777777" w:rsidR="007479B8" w:rsidRDefault="007479B8" w:rsidP="007479B8">
      <w:pPr>
        <w:jc w:val="center"/>
        <w:rPr>
          <w:rFonts w:ascii="Arial" w:eastAsia="ArialMT" w:hAnsi="Arial" w:cs="Arial"/>
          <w:sz w:val="28"/>
          <w:szCs w:val="28"/>
        </w:rPr>
      </w:pPr>
      <w:r>
        <w:rPr>
          <w:rFonts w:ascii="Arial" w:eastAsia="ArialMT" w:hAnsi="Arial" w:cs="Arial"/>
          <w:sz w:val="28"/>
          <w:szCs w:val="28"/>
        </w:rPr>
        <w:t xml:space="preserve">Email: </w:t>
      </w:r>
      <w:hyperlink r:id="rId6" w:history="1">
        <w:r w:rsidRPr="00282E36">
          <w:rPr>
            <w:rStyle w:val="Hyperlink"/>
            <w:rFonts w:ascii="Arial" w:eastAsia="ArialMT" w:hAnsi="Arial" w:cs="Arial"/>
            <w:sz w:val="28"/>
            <w:szCs w:val="28"/>
          </w:rPr>
          <w:t>sandbachheathplaygroup@btconnect.com</w:t>
        </w:r>
      </w:hyperlink>
    </w:p>
    <w:p w14:paraId="0963CA47" w14:textId="77777777" w:rsidR="007479B8" w:rsidRDefault="007479B8" w:rsidP="007479B8">
      <w:pPr>
        <w:jc w:val="center"/>
        <w:rPr>
          <w:rFonts w:ascii="Arial" w:eastAsia="ArialMT" w:hAnsi="Arial" w:cs="Arial"/>
          <w:sz w:val="28"/>
          <w:szCs w:val="28"/>
        </w:rPr>
      </w:pPr>
    </w:p>
    <w:p w14:paraId="5453C003" w14:textId="77777777" w:rsidR="007479B8" w:rsidRDefault="007479B8" w:rsidP="007479B8">
      <w:pPr>
        <w:jc w:val="center"/>
        <w:rPr>
          <w:rFonts w:ascii="Arial" w:eastAsia="ArialMT" w:hAnsi="Arial" w:cs="Arial"/>
          <w:sz w:val="28"/>
          <w:szCs w:val="28"/>
        </w:rPr>
      </w:pPr>
      <w:r>
        <w:rPr>
          <w:rFonts w:ascii="Arial" w:eastAsia="ArialMT" w:hAnsi="Arial" w:cs="Arial"/>
          <w:sz w:val="28"/>
          <w:szCs w:val="28"/>
        </w:rPr>
        <w:t>Manager: Hazel J. Hilton</w:t>
      </w:r>
    </w:p>
    <w:p w14:paraId="2BFA121A" w14:textId="37FA876D" w:rsidR="007479B8" w:rsidRDefault="007479B8" w:rsidP="007479B8">
      <w:pPr>
        <w:jc w:val="center"/>
        <w:rPr>
          <w:rFonts w:ascii="Arial" w:eastAsia="ArialMT" w:hAnsi="Arial" w:cs="Arial"/>
          <w:sz w:val="28"/>
          <w:szCs w:val="28"/>
        </w:rPr>
      </w:pPr>
      <w:r>
        <w:rPr>
          <w:rFonts w:ascii="Arial" w:eastAsia="ArialMT" w:hAnsi="Arial" w:cs="Arial"/>
          <w:sz w:val="28"/>
          <w:szCs w:val="28"/>
        </w:rPr>
        <w:t xml:space="preserve">Deputy: </w:t>
      </w:r>
      <w:r w:rsidR="0073576B">
        <w:rPr>
          <w:rFonts w:ascii="Arial" w:eastAsia="ArialMT" w:hAnsi="Arial" w:cs="Arial"/>
          <w:sz w:val="28"/>
          <w:szCs w:val="28"/>
        </w:rPr>
        <w:t>Alana Tudor</w:t>
      </w:r>
    </w:p>
    <w:p w14:paraId="33952F36" w14:textId="77777777" w:rsidR="007479B8" w:rsidRDefault="007479B8" w:rsidP="007479B8">
      <w:pPr>
        <w:jc w:val="center"/>
        <w:rPr>
          <w:rFonts w:ascii="Arial" w:eastAsia="ArialMT" w:hAnsi="Arial" w:cs="Arial"/>
          <w:sz w:val="28"/>
          <w:szCs w:val="28"/>
        </w:rPr>
      </w:pPr>
      <w:r>
        <w:rPr>
          <w:rFonts w:ascii="Arial" w:eastAsia="ArialMT" w:hAnsi="Arial" w:cs="Arial"/>
          <w:sz w:val="28"/>
          <w:szCs w:val="28"/>
        </w:rPr>
        <w:t>Chair: Martin Douglas</w:t>
      </w:r>
    </w:p>
    <w:p w14:paraId="7D40F431" w14:textId="77777777" w:rsidR="007479B8" w:rsidRDefault="007479B8" w:rsidP="007479B8">
      <w:pPr>
        <w:jc w:val="center"/>
        <w:rPr>
          <w:rFonts w:ascii="Arial" w:eastAsia="ArialMT" w:hAnsi="Arial" w:cs="Arial"/>
          <w:sz w:val="28"/>
          <w:szCs w:val="28"/>
        </w:rPr>
      </w:pPr>
    </w:p>
    <w:p w14:paraId="3FE50A3D" w14:textId="77777777" w:rsidR="007479B8" w:rsidRDefault="007479B8" w:rsidP="007479B8">
      <w:pPr>
        <w:autoSpaceDE w:val="0"/>
        <w:autoSpaceDN w:val="0"/>
        <w:adjustRightInd w:val="0"/>
        <w:spacing w:after="0" w:line="240" w:lineRule="auto"/>
        <w:rPr>
          <w:rFonts w:ascii="Arial" w:eastAsia="ArialMT" w:hAnsi="Arial" w:cs="Arial"/>
          <w:sz w:val="28"/>
          <w:szCs w:val="28"/>
        </w:rPr>
      </w:pPr>
    </w:p>
    <w:p w14:paraId="50C6AB8A" w14:textId="77777777" w:rsidR="007479B8" w:rsidRDefault="007479B8" w:rsidP="007479B8">
      <w:pPr>
        <w:autoSpaceDE w:val="0"/>
        <w:autoSpaceDN w:val="0"/>
        <w:adjustRightInd w:val="0"/>
        <w:spacing w:after="0" w:line="240" w:lineRule="auto"/>
        <w:rPr>
          <w:rFonts w:ascii="Arial" w:eastAsia="ArialMT" w:hAnsi="Arial" w:cs="Arial"/>
          <w:sz w:val="28"/>
          <w:szCs w:val="28"/>
        </w:rPr>
      </w:pPr>
    </w:p>
    <w:p w14:paraId="70AF9DC1" w14:textId="77777777" w:rsidR="007479B8" w:rsidRPr="004F59B3" w:rsidRDefault="007479B8" w:rsidP="007479B8">
      <w:pPr>
        <w:autoSpaceDE w:val="0"/>
        <w:autoSpaceDN w:val="0"/>
        <w:adjustRightInd w:val="0"/>
        <w:spacing w:after="0" w:line="240" w:lineRule="auto"/>
        <w:jc w:val="center"/>
        <w:rPr>
          <w:rFonts w:ascii="Arial" w:hAnsi="Arial" w:cs="Arial"/>
          <w:b/>
          <w:bCs/>
          <w:color w:val="000000"/>
          <w:sz w:val="28"/>
          <w:szCs w:val="28"/>
        </w:rPr>
      </w:pPr>
      <w:r w:rsidRPr="004F59B3">
        <w:rPr>
          <w:rFonts w:ascii="Arial" w:hAnsi="Arial" w:cs="Arial"/>
          <w:b/>
          <w:bCs/>
          <w:color w:val="000000"/>
          <w:sz w:val="28"/>
          <w:szCs w:val="28"/>
        </w:rPr>
        <w:lastRenderedPageBreak/>
        <w:t>Introduction</w:t>
      </w:r>
    </w:p>
    <w:p w14:paraId="1C43E00A" w14:textId="77777777" w:rsidR="007479B8" w:rsidRPr="00B95E5C" w:rsidRDefault="007479B8" w:rsidP="007479B8">
      <w:pPr>
        <w:autoSpaceDE w:val="0"/>
        <w:autoSpaceDN w:val="0"/>
        <w:adjustRightInd w:val="0"/>
        <w:spacing w:after="0" w:line="240" w:lineRule="auto"/>
        <w:jc w:val="center"/>
        <w:rPr>
          <w:rFonts w:ascii="Arial-BoldMT" w:hAnsi="Arial-BoldMT" w:cs="Arial-BoldMT"/>
          <w:bCs/>
          <w:color w:val="000000"/>
        </w:rPr>
      </w:pPr>
    </w:p>
    <w:p w14:paraId="72F69AE6" w14:textId="77777777" w:rsidR="007479B8" w:rsidRPr="00381A1F" w:rsidRDefault="007479B8" w:rsidP="007479B8">
      <w:pPr>
        <w:autoSpaceDE w:val="0"/>
        <w:autoSpaceDN w:val="0"/>
        <w:adjustRightInd w:val="0"/>
        <w:spacing w:after="0" w:line="240" w:lineRule="auto"/>
        <w:jc w:val="center"/>
        <w:rPr>
          <w:rFonts w:ascii="Arial-BoldMT" w:hAnsi="Arial-BoldMT" w:cs="Arial-BoldMT"/>
          <w:b/>
          <w:bCs/>
          <w:color w:val="000000"/>
        </w:rPr>
      </w:pPr>
    </w:p>
    <w:p w14:paraId="79A15D64" w14:textId="0E546C9C" w:rsidR="007479B8" w:rsidRDefault="007479B8" w:rsidP="007479B8">
      <w:pPr>
        <w:autoSpaceDE w:val="0"/>
        <w:autoSpaceDN w:val="0"/>
        <w:adjustRightInd w:val="0"/>
        <w:spacing w:after="0" w:line="360" w:lineRule="auto"/>
        <w:jc w:val="both"/>
        <w:rPr>
          <w:rFonts w:ascii="Arial" w:eastAsia="ArialMT" w:hAnsi="Arial" w:cs="Arial"/>
          <w:color w:val="000000"/>
        </w:rPr>
      </w:pPr>
      <w:r w:rsidRPr="00381A1F">
        <w:rPr>
          <w:rFonts w:ascii="Arial" w:eastAsia="ArialMT" w:hAnsi="Arial" w:cs="Arial"/>
          <w:color w:val="000000"/>
        </w:rPr>
        <w:t>Policies and procedures help you to provide good quality provision. They do this by making clear to staff and parents what sort of setting you want to be and what has to be done to make this happen.</w:t>
      </w:r>
    </w:p>
    <w:p w14:paraId="11B9C302" w14:textId="33679803" w:rsidR="00C36FD5" w:rsidRPr="00C36FD5" w:rsidRDefault="00C36FD5" w:rsidP="00C36FD5">
      <w:pPr>
        <w:autoSpaceDE w:val="0"/>
        <w:autoSpaceDN w:val="0"/>
        <w:adjustRightInd w:val="0"/>
        <w:spacing w:after="0" w:line="360" w:lineRule="auto"/>
        <w:jc w:val="both"/>
        <w:rPr>
          <w:rFonts w:ascii="Arial" w:eastAsia="ArialMT" w:hAnsi="Arial" w:cs="Arial"/>
          <w:b/>
          <w:color w:val="000000"/>
        </w:rPr>
      </w:pPr>
      <w:r w:rsidRPr="00C36FD5">
        <w:rPr>
          <w:rFonts w:ascii="Arial" w:eastAsia="ArialMT" w:hAnsi="Arial" w:cs="Arial"/>
          <w:b/>
          <w:color w:val="000000"/>
        </w:rPr>
        <w:t>Major Changes to Legislation</w:t>
      </w:r>
      <w:r>
        <w:rPr>
          <w:rFonts w:ascii="Arial" w:eastAsia="ArialMT" w:hAnsi="Arial" w:cs="Arial"/>
          <w:b/>
          <w:color w:val="000000"/>
        </w:rPr>
        <w:t xml:space="preserve"> 3</w:t>
      </w:r>
      <w:r w:rsidRPr="00C36FD5">
        <w:rPr>
          <w:rFonts w:ascii="Arial" w:eastAsia="ArialMT" w:hAnsi="Arial" w:cs="Arial"/>
          <w:b/>
          <w:color w:val="000000"/>
          <w:vertAlign w:val="superscript"/>
        </w:rPr>
        <w:t>rd</w:t>
      </w:r>
      <w:r>
        <w:rPr>
          <w:rFonts w:ascii="Arial" w:eastAsia="ArialMT" w:hAnsi="Arial" w:cs="Arial"/>
          <w:b/>
          <w:color w:val="000000"/>
        </w:rPr>
        <w:t xml:space="preserve"> September 2018:</w:t>
      </w:r>
    </w:p>
    <w:p w14:paraId="6ADDC934" w14:textId="4E160B28" w:rsidR="00C36FD5" w:rsidRPr="00C36FD5" w:rsidRDefault="00C36FD5" w:rsidP="00C36FD5">
      <w:pPr>
        <w:pStyle w:val="ListParagraph"/>
        <w:numPr>
          <w:ilvl w:val="0"/>
          <w:numId w:val="1"/>
        </w:numPr>
        <w:autoSpaceDE w:val="0"/>
        <w:autoSpaceDN w:val="0"/>
        <w:adjustRightInd w:val="0"/>
        <w:spacing w:after="0" w:line="240" w:lineRule="auto"/>
        <w:rPr>
          <w:rFonts w:ascii="Comic Sans MS" w:hAnsi="Comic Sans MS" w:cs="Arial"/>
          <w:i/>
        </w:rPr>
      </w:pPr>
      <w:r>
        <w:rPr>
          <w:rFonts w:ascii="Comic Sans MS" w:hAnsi="Comic Sans MS" w:cs="Arial"/>
          <w:i/>
        </w:rPr>
        <w:t>There is a</w:t>
      </w:r>
      <w:r w:rsidRPr="00C36FD5">
        <w:rPr>
          <w:rFonts w:ascii="Comic Sans MS" w:hAnsi="Comic Sans MS" w:cs="Arial"/>
          <w:i/>
        </w:rPr>
        <w:t xml:space="preserve"> move from having L</w:t>
      </w:r>
      <w:r>
        <w:rPr>
          <w:rFonts w:ascii="Comic Sans MS" w:hAnsi="Comic Sans MS" w:cs="Arial"/>
          <w:i/>
        </w:rPr>
        <w:t>o</w:t>
      </w:r>
      <w:r w:rsidRPr="00C36FD5">
        <w:rPr>
          <w:rFonts w:ascii="Comic Sans MS" w:hAnsi="Comic Sans MS" w:cs="Arial"/>
          <w:i/>
        </w:rPr>
        <w:t>cal Safeguarding Children Boards (LSCB’s) to Safeguarding</w:t>
      </w:r>
      <w:r>
        <w:rPr>
          <w:rFonts w:ascii="Comic Sans MS" w:hAnsi="Comic Sans MS" w:cs="Arial"/>
          <w:i/>
        </w:rPr>
        <w:t xml:space="preserve"> </w:t>
      </w:r>
      <w:r w:rsidRPr="00C36FD5">
        <w:rPr>
          <w:rFonts w:ascii="Comic Sans MS" w:hAnsi="Comic Sans MS" w:cs="Arial"/>
          <w:i/>
        </w:rPr>
        <w:t>Partners.</w:t>
      </w:r>
    </w:p>
    <w:p w14:paraId="24A6D620" w14:textId="42FC8B1E" w:rsidR="00C36FD5" w:rsidRPr="00C36FD5" w:rsidRDefault="00C36FD5" w:rsidP="00C36FD5">
      <w:pPr>
        <w:pStyle w:val="ListParagraph"/>
        <w:numPr>
          <w:ilvl w:val="0"/>
          <w:numId w:val="1"/>
        </w:numPr>
        <w:autoSpaceDE w:val="0"/>
        <w:autoSpaceDN w:val="0"/>
        <w:adjustRightInd w:val="0"/>
        <w:spacing w:after="0" w:line="240" w:lineRule="auto"/>
        <w:rPr>
          <w:rFonts w:ascii="Comic Sans MS" w:hAnsi="Comic Sans MS" w:cs="Arial"/>
          <w:i/>
        </w:rPr>
      </w:pPr>
      <w:r>
        <w:rPr>
          <w:rFonts w:ascii="Comic Sans MS" w:hAnsi="Comic Sans MS" w:cs="Arial"/>
          <w:i/>
        </w:rPr>
        <w:t>There is a</w:t>
      </w:r>
      <w:r w:rsidRPr="00C36FD5">
        <w:rPr>
          <w:rFonts w:ascii="Comic Sans MS" w:hAnsi="Comic Sans MS" w:cs="Arial"/>
          <w:i/>
        </w:rPr>
        <w:t xml:space="preserve"> change from having “Serious Case Reviews” to “Child Safeguarding Practice</w:t>
      </w:r>
      <w:r>
        <w:rPr>
          <w:rFonts w:ascii="Comic Sans MS" w:hAnsi="Comic Sans MS" w:cs="Arial"/>
          <w:i/>
        </w:rPr>
        <w:t xml:space="preserve"> </w:t>
      </w:r>
      <w:r w:rsidRPr="00C36FD5">
        <w:rPr>
          <w:rFonts w:ascii="Comic Sans MS" w:hAnsi="Comic Sans MS" w:cs="Arial"/>
          <w:i/>
        </w:rPr>
        <w:t>Reviews”</w:t>
      </w:r>
    </w:p>
    <w:p w14:paraId="1C4956DB" w14:textId="59CA7AE5" w:rsidR="00C36FD5" w:rsidRPr="00C36FD5" w:rsidRDefault="00C36FD5" w:rsidP="00C36FD5">
      <w:pPr>
        <w:pStyle w:val="ListParagraph"/>
        <w:numPr>
          <w:ilvl w:val="0"/>
          <w:numId w:val="1"/>
        </w:numPr>
        <w:autoSpaceDE w:val="0"/>
        <w:autoSpaceDN w:val="0"/>
        <w:adjustRightInd w:val="0"/>
        <w:spacing w:after="0" w:line="240" w:lineRule="auto"/>
        <w:rPr>
          <w:rFonts w:ascii="Comic Sans MS" w:hAnsi="Comic Sans MS" w:cs="Arial"/>
          <w:i/>
        </w:rPr>
      </w:pPr>
      <w:r w:rsidRPr="00C36FD5">
        <w:rPr>
          <w:rFonts w:ascii="Comic Sans MS" w:hAnsi="Comic Sans MS" w:cs="Arial"/>
          <w:i/>
        </w:rPr>
        <w:t>Child death reviews will no longer be undertaken by a child death overview panel</w:t>
      </w:r>
      <w:r>
        <w:rPr>
          <w:rFonts w:ascii="Comic Sans MS" w:hAnsi="Comic Sans MS" w:cs="Arial"/>
          <w:i/>
        </w:rPr>
        <w:t xml:space="preserve"> </w:t>
      </w:r>
      <w:r w:rsidRPr="00C36FD5">
        <w:rPr>
          <w:rFonts w:ascii="Comic Sans MS" w:hAnsi="Comic Sans MS" w:cs="Arial"/>
          <w:i/>
        </w:rPr>
        <w:t>(CDOP); instead there will be “</w:t>
      </w:r>
      <w:r w:rsidRPr="00C36FD5">
        <w:rPr>
          <w:rFonts w:ascii="Comic Sans MS" w:hAnsi="Comic Sans MS" w:cs="Arial"/>
          <w:b/>
          <w:bCs/>
          <w:i/>
        </w:rPr>
        <w:t>child death review partners</w:t>
      </w:r>
      <w:r w:rsidRPr="00C36FD5">
        <w:rPr>
          <w:rFonts w:ascii="Comic Sans MS" w:hAnsi="Comic Sans MS" w:cs="Arial"/>
          <w:i/>
        </w:rPr>
        <w:t>”;</w:t>
      </w:r>
    </w:p>
    <w:p w14:paraId="30FFC052" w14:textId="77777777" w:rsidR="00C36FD5" w:rsidRDefault="00C36FD5" w:rsidP="007479B8">
      <w:pPr>
        <w:autoSpaceDE w:val="0"/>
        <w:autoSpaceDN w:val="0"/>
        <w:adjustRightInd w:val="0"/>
        <w:spacing w:after="0" w:line="360" w:lineRule="auto"/>
        <w:jc w:val="both"/>
        <w:rPr>
          <w:rFonts w:ascii="Arial" w:eastAsia="ArialMT" w:hAnsi="Arial" w:cs="Arial"/>
          <w:color w:val="000000"/>
        </w:rPr>
      </w:pPr>
    </w:p>
    <w:p w14:paraId="539C05B3" w14:textId="104DA7A3" w:rsidR="00297BD1" w:rsidRDefault="00297BD1" w:rsidP="007479B8">
      <w:pPr>
        <w:autoSpaceDE w:val="0"/>
        <w:autoSpaceDN w:val="0"/>
        <w:adjustRightInd w:val="0"/>
        <w:spacing w:after="0" w:line="360" w:lineRule="auto"/>
        <w:jc w:val="both"/>
        <w:rPr>
          <w:rFonts w:ascii="Arial" w:eastAsia="ArialMT" w:hAnsi="Arial" w:cs="Arial"/>
          <w:b/>
          <w:color w:val="000000"/>
        </w:rPr>
      </w:pPr>
      <w:r w:rsidRPr="00297BD1">
        <w:rPr>
          <w:rFonts w:ascii="Arial" w:eastAsia="ArialMT" w:hAnsi="Arial" w:cs="Arial"/>
          <w:b/>
          <w:color w:val="000000"/>
        </w:rPr>
        <w:t>Wording Changes: Working Together to Safeguard Children 2018</w:t>
      </w:r>
    </w:p>
    <w:p w14:paraId="0E24E47F" w14:textId="23EF601B" w:rsidR="00297BD1" w:rsidRPr="00B95E5C" w:rsidRDefault="00297BD1" w:rsidP="007479B8">
      <w:pPr>
        <w:autoSpaceDE w:val="0"/>
        <w:autoSpaceDN w:val="0"/>
        <w:adjustRightInd w:val="0"/>
        <w:spacing w:after="0" w:line="360" w:lineRule="auto"/>
        <w:jc w:val="both"/>
        <w:rPr>
          <w:rFonts w:ascii="Comic Sans MS" w:eastAsia="ArialMT" w:hAnsi="Comic Sans MS" w:cs="Arial"/>
          <w:i/>
          <w:color w:val="000000"/>
        </w:rPr>
      </w:pPr>
      <w:r w:rsidRPr="00B95E5C">
        <w:rPr>
          <w:rFonts w:ascii="Comic Sans MS" w:eastAsia="ArialMT" w:hAnsi="Comic Sans MS" w:cs="Arial"/>
          <w:i/>
          <w:color w:val="000000"/>
        </w:rPr>
        <w:t>The policies and procedures were updated prior to the wording legislation changes on the 3</w:t>
      </w:r>
      <w:r w:rsidRPr="00B95E5C">
        <w:rPr>
          <w:rFonts w:ascii="Comic Sans MS" w:eastAsia="ArialMT" w:hAnsi="Comic Sans MS" w:cs="Arial"/>
          <w:i/>
          <w:color w:val="000000"/>
          <w:vertAlign w:val="superscript"/>
        </w:rPr>
        <w:t>rd</w:t>
      </w:r>
      <w:r w:rsidRPr="00B95E5C">
        <w:rPr>
          <w:rFonts w:ascii="Comic Sans MS" w:eastAsia="ArialMT" w:hAnsi="Comic Sans MS" w:cs="Arial"/>
          <w:i/>
          <w:color w:val="000000"/>
        </w:rPr>
        <w:t xml:space="preserve"> September 2018. We have used the most recent Policies and Procedures set out by the pre-school learning alliance and these do not reflect the changes.</w:t>
      </w:r>
      <w:r w:rsidR="00B95E5C" w:rsidRPr="00B95E5C">
        <w:rPr>
          <w:rFonts w:ascii="Comic Sans MS" w:eastAsia="ArialMT" w:hAnsi="Comic Sans MS" w:cs="Arial"/>
          <w:i/>
          <w:color w:val="000000"/>
        </w:rPr>
        <w:t xml:space="preserve"> We are aware of the new terminology and this is reflected in the table below.</w:t>
      </w:r>
      <w:r w:rsidR="00B95E5C">
        <w:rPr>
          <w:rFonts w:ascii="Comic Sans MS" w:eastAsia="ArialMT" w:hAnsi="Comic Sans MS" w:cs="Arial"/>
          <w:i/>
          <w:color w:val="000000"/>
        </w:rPr>
        <w:t xml:space="preserve"> If you see the following terms in our policies and procedures please exchange with the following terminology.</w:t>
      </w:r>
    </w:p>
    <w:tbl>
      <w:tblPr>
        <w:tblStyle w:val="TableGrid"/>
        <w:tblW w:w="10065" w:type="dxa"/>
        <w:tblInd w:w="-459" w:type="dxa"/>
        <w:tblLook w:val="04A0" w:firstRow="1" w:lastRow="0" w:firstColumn="1" w:lastColumn="0" w:noHBand="0" w:noVBand="1"/>
      </w:tblPr>
      <w:tblGrid>
        <w:gridCol w:w="5080"/>
        <w:gridCol w:w="4985"/>
      </w:tblGrid>
      <w:tr w:rsidR="00B95E5C" w14:paraId="0EC200F1" w14:textId="77777777" w:rsidTr="00B95E5C">
        <w:tc>
          <w:tcPr>
            <w:tcW w:w="5080" w:type="dxa"/>
          </w:tcPr>
          <w:p w14:paraId="61F5A368" w14:textId="6D679FC6" w:rsidR="00B95E5C" w:rsidRDefault="00B95E5C" w:rsidP="00B95E5C">
            <w:pPr>
              <w:autoSpaceDE w:val="0"/>
              <w:autoSpaceDN w:val="0"/>
              <w:adjustRightInd w:val="0"/>
              <w:spacing w:line="360" w:lineRule="auto"/>
              <w:jc w:val="center"/>
              <w:rPr>
                <w:rFonts w:ascii="Arial" w:eastAsia="ArialMT" w:hAnsi="Arial" w:cs="Arial"/>
                <w:color w:val="000000"/>
              </w:rPr>
            </w:pPr>
            <w:bookmarkStart w:id="0" w:name="_Hlk522526143"/>
            <w:r>
              <w:rPr>
                <w:rFonts w:ascii="Arial" w:eastAsia="ArialMT" w:hAnsi="Arial" w:cs="Arial"/>
                <w:color w:val="000000"/>
              </w:rPr>
              <w:t>Old Terminology</w:t>
            </w:r>
          </w:p>
        </w:tc>
        <w:tc>
          <w:tcPr>
            <w:tcW w:w="4985" w:type="dxa"/>
          </w:tcPr>
          <w:p w14:paraId="278AB156" w14:textId="29B5D3B1" w:rsidR="00B95E5C" w:rsidRDefault="00B95E5C" w:rsidP="00B95E5C">
            <w:pPr>
              <w:autoSpaceDE w:val="0"/>
              <w:autoSpaceDN w:val="0"/>
              <w:adjustRightInd w:val="0"/>
              <w:spacing w:line="360" w:lineRule="auto"/>
              <w:jc w:val="center"/>
              <w:rPr>
                <w:rFonts w:ascii="Arial" w:eastAsia="ArialMT" w:hAnsi="Arial" w:cs="Arial"/>
                <w:color w:val="000000"/>
              </w:rPr>
            </w:pPr>
            <w:r>
              <w:rPr>
                <w:rFonts w:ascii="Arial" w:eastAsia="ArialMT" w:hAnsi="Arial" w:cs="Arial"/>
                <w:color w:val="000000"/>
              </w:rPr>
              <w:t>New Terminology</w:t>
            </w:r>
          </w:p>
        </w:tc>
      </w:tr>
      <w:tr w:rsidR="00B95E5C" w14:paraId="70C89D45" w14:textId="77777777" w:rsidTr="00B95E5C">
        <w:tc>
          <w:tcPr>
            <w:tcW w:w="5080" w:type="dxa"/>
          </w:tcPr>
          <w:p w14:paraId="43AAE914" w14:textId="41B96ED7" w:rsidR="00B95E5C" w:rsidRDefault="00B95E5C" w:rsidP="00B95E5C">
            <w:pPr>
              <w:autoSpaceDE w:val="0"/>
              <w:autoSpaceDN w:val="0"/>
              <w:adjustRightInd w:val="0"/>
              <w:spacing w:line="276" w:lineRule="auto"/>
              <w:jc w:val="both"/>
              <w:rPr>
                <w:rFonts w:ascii="Arial" w:eastAsia="ArialMT" w:hAnsi="Arial" w:cs="Arial"/>
                <w:color w:val="000000"/>
              </w:rPr>
            </w:pPr>
            <w:r>
              <w:rPr>
                <w:rFonts w:ascii="Arial" w:hAnsi="Arial" w:cs="Arial"/>
                <w:sz w:val="24"/>
                <w:szCs w:val="24"/>
              </w:rPr>
              <w:t xml:space="preserve">The term </w:t>
            </w:r>
            <w:r w:rsidRPr="00B95E5C">
              <w:rPr>
                <w:rFonts w:ascii="Arial" w:hAnsi="Arial" w:cs="Arial"/>
                <w:color w:val="FF0000"/>
                <w:sz w:val="24"/>
                <w:szCs w:val="24"/>
              </w:rPr>
              <w:t>‘</w:t>
            </w:r>
            <w:r w:rsidRPr="00093EE7">
              <w:rPr>
                <w:rFonts w:ascii="Arial" w:hAnsi="Arial" w:cs="Arial"/>
                <w:b/>
                <w:color w:val="FF0000"/>
                <w:sz w:val="24"/>
                <w:szCs w:val="24"/>
              </w:rPr>
              <w:t>children and young people’</w:t>
            </w:r>
            <w:r>
              <w:rPr>
                <w:rFonts w:ascii="Arial" w:hAnsi="Arial" w:cs="Arial"/>
                <w:sz w:val="24"/>
                <w:szCs w:val="24"/>
              </w:rPr>
              <w:t xml:space="preserve"> is no longer us</w:t>
            </w:r>
            <w:r w:rsidR="00093EE7">
              <w:rPr>
                <w:rFonts w:ascii="Arial" w:hAnsi="Arial" w:cs="Arial"/>
                <w:sz w:val="24"/>
                <w:szCs w:val="24"/>
              </w:rPr>
              <w:t>ed.</w:t>
            </w:r>
          </w:p>
        </w:tc>
        <w:tc>
          <w:tcPr>
            <w:tcW w:w="4985" w:type="dxa"/>
          </w:tcPr>
          <w:p w14:paraId="0EBC81B4" w14:textId="0F0EE2A3" w:rsidR="00B95E5C" w:rsidRPr="00B95E5C" w:rsidRDefault="00B95E5C" w:rsidP="00B95E5C">
            <w:pPr>
              <w:autoSpaceDE w:val="0"/>
              <w:autoSpaceDN w:val="0"/>
              <w:adjustRightInd w:val="0"/>
              <w:spacing w:line="276" w:lineRule="auto"/>
              <w:rPr>
                <w:rFonts w:ascii="Arial" w:hAnsi="Arial" w:cs="Arial"/>
                <w:sz w:val="24"/>
                <w:szCs w:val="24"/>
              </w:rPr>
            </w:pPr>
            <w:r>
              <w:rPr>
                <w:rFonts w:ascii="Arial" w:hAnsi="Arial" w:cs="Arial"/>
                <w:sz w:val="24"/>
                <w:szCs w:val="24"/>
              </w:rPr>
              <w:t xml:space="preserve">It now only refers to them as </w:t>
            </w:r>
            <w:r w:rsidRPr="00B95E5C">
              <w:rPr>
                <w:rFonts w:ascii="Arial" w:hAnsi="Arial" w:cs="Arial"/>
                <w:b/>
                <w:color w:val="FF0000"/>
                <w:sz w:val="24"/>
                <w:szCs w:val="24"/>
              </w:rPr>
              <w:t>‘children’</w:t>
            </w:r>
            <w:r>
              <w:rPr>
                <w:rFonts w:ascii="Arial" w:hAnsi="Arial" w:cs="Arial"/>
                <w:sz w:val="24"/>
                <w:szCs w:val="24"/>
              </w:rPr>
              <w:t>. This reflects findings from Serious Case Reviews</w:t>
            </w:r>
          </w:p>
        </w:tc>
      </w:tr>
      <w:tr w:rsidR="00B95E5C" w14:paraId="15FF6153" w14:textId="77777777" w:rsidTr="00B95E5C">
        <w:tc>
          <w:tcPr>
            <w:tcW w:w="5080" w:type="dxa"/>
          </w:tcPr>
          <w:p w14:paraId="5B4659D3" w14:textId="068EC86D" w:rsidR="00B95E5C" w:rsidRDefault="00B95E5C" w:rsidP="007479B8">
            <w:pPr>
              <w:autoSpaceDE w:val="0"/>
              <w:autoSpaceDN w:val="0"/>
              <w:adjustRightInd w:val="0"/>
              <w:spacing w:line="360" w:lineRule="auto"/>
              <w:jc w:val="both"/>
              <w:rPr>
                <w:rFonts w:ascii="Arial" w:eastAsia="ArialMT" w:hAnsi="Arial" w:cs="Arial"/>
                <w:color w:val="000000"/>
              </w:rPr>
            </w:pPr>
            <w:r>
              <w:rPr>
                <w:rFonts w:ascii="Arial" w:hAnsi="Arial" w:cs="Arial"/>
                <w:sz w:val="24"/>
                <w:szCs w:val="24"/>
              </w:rPr>
              <w:t xml:space="preserve">The word </w:t>
            </w:r>
            <w:r w:rsidRPr="00B95E5C">
              <w:rPr>
                <w:rFonts w:ascii="Arial" w:hAnsi="Arial" w:cs="Arial"/>
                <w:b/>
                <w:color w:val="FF0000"/>
                <w:sz w:val="24"/>
                <w:szCs w:val="24"/>
              </w:rPr>
              <w:t xml:space="preserve">‘professional’ </w:t>
            </w:r>
            <w:r>
              <w:rPr>
                <w:rFonts w:ascii="Arial" w:hAnsi="Arial" w:cs="Arial"/>
                <w:sz w:val="24"/>
                <w:szCs w:val="24"/>
              </w:rPr>
              <w:t>has been replaced</w:t>
            </w:r>
          </w:p>
        </w:tc>
        <w:tc>
          <w:tcPr>
            <w:tcW w:w="4985" w:type="dxa"/>
          </w:tcPr>
          <w:p w14:paraId="34F0D3F0" w14:textId="0C086AD2" w:rsidR="00B95E5C" w:rsidRDefault="00B95E5C" w:rsidP="00093EE7">
            <w:pPr>
              <w:autoSpaceDE w:val="0"/>
              <w:autoSpaceDN w:val="0"/>
              <w:adjustRightInd w:val="0"/>
              <w:spacing w:line="276" w:lineRule="auto"/>
              <w:jc w:val="both"/>
              <w:rPr>
                <w:rFonts w:ascii="Arial" w:eastAsia="ArialMT" w:hAnsi="Arial" w:cs="Arial"/>
                <w:color w:val="000000"/>
              </w:rPr>
            </w:pPr>
            <w:r>
              <w:rPr>
                <w:rFonts w:ascii="Arial" w:hAnsi="Arial" w:cs="Arial"/>
                <w:sz w:val="24"/>
                <w:szCs w:val="24"/>
              </w:rPr>
              <w:t xml:space="preserve">professional’ has been changed to </w:t>
            </w:r>
            <w:r w:rsidRPr="00093EE7">
              <w:rPr>
                <w:rFonts w:ascii="Arial" w:hAnsi="Arial" w:cs="Arial"/>
                <w:b/>
                <w:color w:val="FF0000"/>
                <w:sz w:val="24"/>
                <w:szCs w:val="24"/>
              </w:rPr>
              <w:t>‘practitioner’.</w:t>
            </w:r>
          </w:p>
        </w:tc>
      </w:tr>
      <w:tr w:rsidR="00B95E5C" w14:paraId="34621E4D" w14:textId="77777777" w:rsidTr="00B95E5C">
        <w:tc>
          <w:tcPr>
            <w:tcW w:w="5080" w:type="dxa"/>
          </w:tcPr>
          <w:p w14:paraId="01457D68" w14:textId="2C8C1EF3" w:rsidR="00B95E5C" w:rsidRDefault="00B95E5C" w:rsidP="007479B8">
            <w:pPr>
              <w:autoSpaceDE w:val="0"/>
              <w:autoSpaceDN w:val="0"/>
              <w:adjustRightInd w:val="0"/>
              <w:spacing w:line="360" w:lineRule="auto"/>
              <w:jc w:val="both"/>
              <w:rPr>
                <w:rFonts w:ascii="Arial" w:eastAsia="ArialMT" w:hAnsi="Arial" w:cs="Arial"/>
                <w:color w:val="000000"/>
              </w:rPr>
            </w:pPr>
            <w:r>
              <w:rPr>
                <w:rFonts w:ascii="Arial" w:hAnsi="Arial" w:cs="Arial"/>
                <w:sz w:val="24"/>
                <w:szCs w:val="24"/>
              </w:rPr>
              <w:t xml:space="preserve">change from </w:t>
            </w:r>
            <w:r w:rsidRPr="00093EE7">
              <w:rPr>
                <w:rFonts w:ascii="Arial" w:hAnsi="Arial" w:cs="Arial"/>
                <w:b/>
                <w:color w:val="FF0000"/>
                <w:sz w:val="24"/>
                <w:szCs w:val="24"/>
              </w:rPr>
              <w:t>“improving outcomes”</w:t>
            </w:r>
          </w:p>
        </w:tc>
        <w:tc>
          <w:tcPr>
            <w:tcW w:w="4985" w:type="dxa"/>
          </w:tcPr>
          <w:p w14:paraId="61E8A07F" w14:textId="03B49340" w:rsidR="00B95E5C" w:rsidRPr="00093EE7" w:rsidRDefault="00093EE7" w:rsidP="00093EE7">
            <w:pPr>
              <w:autoSpaceDE w:val="0"/>
              <w:autoSpaceDN w:val="0"/>
              <w:adjustRightInd w:val="0"/>
              <w:rPr>
                <w:rFonts w:ascii="Arial" w:hAnsi="Arial" w:cs="Arial"/>
                <w:sz w:val="24"/>
                <w:szCs w:val="24"/>
              </w:rPr>
            </w:pPr>
            <w:r>
              <w:rPr>
                <w:rFonts w:ascii="Arial" w:hAnsi="Arial" w:cs="Arial"/>
                <w:sz w:val="24"/>
                <w:szCs w:val="24"/>
              </w:rPr>
              <w:t>Change to</w:t>
            </w:r>
            <w:r w:rsidRPr="00093EE7">
              <w:rPr>
                <w:rFonts w:ascii="Arial" w:hAnsi="Arial" w:cs="Arial"/>
                <w:b/>
                <w:color w:val="FF0000"/>
                <w:sz w:val="24"/>
                <w:szCs w:val="24"/>
              </w:rPr>
              <w:t xml:space="preserve"> “achieving best possible outcomes”</w:t>
            </w:r>
            <w:r>
              <w:rPr>
                <w:rFonts w:ascii="Arial" w:hAnsi="Arial" w:cs="Arial"/>
                <w:sz w:val="24"/>
                <w:szCs w:val="24"/>
              </w:rPr>
              <w:t xml:space="preserve"> for children.</w:t>
            </w:r>
          </w:p>
        </w:tc>
      </w:tr>
      <w:bookmarkEnd w:id="0"/>
    </w:tbl>
    <w:p w14:paraId="3E88BEA3" w14:textId="77777777" w:rsidR="007479B8" w:rsidRPr="00381A1F" w:rsidRDefault="007479B8" w:rsidP="007479B8">
      <w:pPr>
        <w:autoSpaceDE w:val="0"/>
        <w:autoSpaceDN w:val="0"/>
        <w:adjustRightInd w:val="0"/>
        <w:spacing w:after="0" w:line="360" w:lineRule="auto"/>
        <w:jc w:val="both"/>
        <w:rPr>
          <w:rFonts w:ascii="Arial" w:eastAsia="ArialMT" w:hAnsi="Arial" w:cs="Arial"/>
          <w:color w:val="000000"/>
        </w:rPr>
      </w:pPr>
    </w:p>
    <w:p w14:paraId="1F06500E" w14:textId="7C308934" w:rsidR="007479B8" w:rsidRPr="00381A1F" w:rsidRDefault="007479B8" w:rsidP="007479B8">
      <w:pPr>
        <w:autoSpaceDE w:val="0"/>
        <w:autoSpaceDN w:val="0"/>
        <w:adjustRightInd w:val="0"/>
        <w:spacing w:after="0" w:line="360" w:lineRule="auto"/>
        <w:jc w:val="both"/>
        <w:rPr>
          <w:rFonts w:ascii="Arial" w:eastAsia="ArialMT" w:hAnsi="Arial" w:cs="Arial"/>
          <w:color w:val="000000"/>
        </w:rPr>
      </w:pPr>
      <w:r w:rsidRPr="00381A1F">
        <w:rPr>
          <w:rFonts w:ascii="Arial" w:eastAsia="ArialMT" w:hAnsi="Arial" w:cs="Arial"/>
          <w:color w:val="000000"/>
        </w:rPr>
        <w:t>Section 3.</w:t>
      </w:r>
      <w:r w:rsidR="0073576B">
        <w:rPr>
          <w:rFonts w:ascii="Arial" w:eastAsia="ArialMT" w:hAnsi="Arial" w:cs="Arial"/>
          <w:color w:val="000000"/>
        </w:rPr>
        <w:t>2</w:t>
      </w:r>
      <w:r w:rsidRPr="00381A1F">
        <w:rPr>
          <w:rFonts w:ascii="Arial" w:eastAsia="ArialMT" w:hAnsi="Arial" w:cs="Arial"/>
          <w:color w:val="000000"/>
        </w:rPr>
        <w:t xml:space="preserve"> in the Statutory Framework of the Early Years Foundation Stage (20</w:t>
      </w:r>
      <w:r w:rsidR="0073576B">
        <w:rPr>
          <w:rFonts w:ascii="Arial" w:eastAsia="ArialMT" w:hAnsi="Arial" w:cs="Arial"/>
          <w:color w:val="000000"/>
        </w:rPr>
        <w:t>21</w:t>
      </w:r>
      <w:r w:rsidRPr="00381A1F">
        <w:rPr>
          <w:rFonts w:ascii="Arial" w:eastAsia="ArialMT" w:hAnsi="Arial" w:cs="Arial"/>
          <w:color w:val="000000"/>
        </w:rPr>
        <w:t>) requires providers to have written policies and procedures and to ensure all staff are given copies at their induction and that parents also receive a copy</w:t>
      </w:r>
      <w:r>
        <w:rPr>
          <w:rFonts w:ascii="Arial" w:eastAsia="ArialMT" w:hAnsi="Arial" w:cs="Arial"/>
          <w:color w:val="000000"/>
        </w:rPr>
        <w:t xml:space="preserve"> upon request</w:t>
      </w:r>
      <w:r w:rsidRPr="00381A1F">
        <w:rPr>
          <w:rFonts w:ascii="Arial" w:eastAsia="ArialMT" w:hAnsi="Arial" w:cs="Arial"/>
          <w:color w:val="000000"/>
        </w:rPr>
        <w:t xml:space="preserve">. It is important to discuss with parents the key points of the policies they are provides. The Welfare Requirements within the Statutory Framework of the Early Years Foundation Stage replace the National Standards for Under 8s </w:t>
      </w:r>
      <w:proofErr w:type="spellStart"/>
      <w:r w:rsidRPr="00381A1F">
        <w:rPr>
          <w:rFonts w:ascii="Arial" w:eastAsia="ArialMT" w:hAnsi="Arial" w:cs="Arial"/>
          <w:color w:val="000000"/>
        </w:rPr>
        <w:t>Daycare</w:t>
      </w:r>
      <w:proofErr w:type="spellEnd"/>
      <w:r w:rsidRPr="00381A1F">
        <w:rPr>
          <w:rFonts w:ascii="Arial" w:eastAsia="ArialMT" w:hAnsi="Arial" w:cs="Arial"/>
          <w:color w:val="000000"/>
        </w:rPr>
        <w:t xml:space="preserve"> &amp; Childminding. There are general requirements, as follows.</w:t>
      </w:r>
    </w:p>
    <w:p w14:paraId="5039DE96" w14:textId="77777777" w:rsidR="007479B8" w:rsidRPr="00381A1F" w:rsidRDefault="007479B8" w:rsidP="007479B8">
      <w:pPr>
        <w:autoSpaceDE w:val="0"/>
        <w:autoSpaceDN w:val="0"/>
        <w:adjustRightInd w:val="0"/>
        <w:spacing w:after="0" w:line="360" w:lineRule="auto"/>
        <w:jc w:val="both"/>
        <w:rPr>
          <w:rFonts w:ascii="Arial" w:hAnsi="Arial" w:cs="Arial"/>
          <w:i/>
          <w:iCs/>
          <w:color w:val="000000"/>
        </w:rPr>
      </w:pPr>
    </w:p>
    <w:p w14:paraId="571CEE7E" w14:textId="77777777" w:rsidR="007479B8" w:rsidRPr="00381A1F" w:rsidRDefault="007479B8" w:rsidP="007479B8">
      <w:pPr>
        <w:autoSpaceDE w:val="0"/>
        <w:autoSpaceDN w:val="0"/>
        <w:adjustRightInd w:val="0"/>
        <w:spacing w:after="0" w:line="360" w:lineRule="auto"/>
        <w:jc w:val="both"/>
        <w:rPr>
          <w:rFonts w:ascii="Arial" w:hAnsi="Arial" w:cs="Arial"/>
          <w:i/>
          <w:iCs/>
          <w:color w:val="000000"/>
        </w:rPr>
      </w:pPr>
      <w:r w:rsidRPr="00381A1F">
        <w:rPr>
          <w:rFonts w:ascii="Arial" w:hAnsi="Arial" w:cs="Arial"/>
          <w:i/>
          <w:iCs/>
          <w:color w:val="000000"/>
        </w:rPr>
        <w:t>Safeguarding and promoting children’s welfare</w:t>
      </w:r>
    </w:p>
    <w:p w14:paraId="0BF634FD" w14:textId="77777777" w:rsidR="007479B8" w:rsidRDefault="007479B8" w:rsidP="007479B8">
      <w:pPr>
        <w:autoSpaceDE w:val="0"/>
        <w:autoSpaceDN w:val="0"/>
        <w:adjustRightInd w:val="0"/>
        <w:spacing w:after="0" w:line="360" w:lineRule="auto"/>
        <w:jc w:val="both"/>
        <w:rPr>
          <w:rFonts w:ascii="Arial" w:eastAsia="ArialMT" w:hAnsi="Arial" w:cs="Arial"/>
          <w:color w:val="000000"/>
        </w:rPr>
      </w:pPr>
      <w:r w:rsidRPr="00381A1F">
        <w:rPr>
          <w:rFonts w:ascii="Arial" w:eastAsia="ArialMT" w:hAnsi="Arial" w:cs="Arial"/>
          <w:color w:val="000000"/>
        </w:rPr>
        <w:t xml:space="preserve">The provider must take steps to safeguard and promote the welfare of children. The provider must promote the good health of the children, take necessary steps to prevent the spread of infection and take appropriate action when they are ill. Children’s behaviour must be managed </w:t>
      </w:r>
      <w:r w:rsidRPr="00381A1F">
        <w:rPr>
          <w:rFonts w:ascii="Arial" w:eastAsia="ArialMT" w:hAnsi="Arial" w:cs="Arial"/>
          <w:color w:val="000000"/>
        </w:rPr>
        <w:lastRenderedPageBreak/>
        <w:t xml:space="preserve">effectively and in a manner appropriate for their stage of development and particular individual needs. Early years providers need to be alert to any issues that may present themselves that give cause for concern be they at home or anywhere else. The setting should have in place a range of policies and procedures to safeguard children. These should be in line with the guidance. These policies should be in line with the guidance set out by the relevant Local Safeguarding Children Board (LSCB).The safeguarding policy and procedures must include an explanation of the </w:t>
      </w:r>
      <w:r w:rsidRPr="00916260">
        <w:rPr>
          <w:rFonts w:ascii="Arial" w:eastAsia="ArialMT" w:hAnsi="Arial" w:cs="Arial"/>
          <w:color w:val="000000"/>
        </w:rPr>
        <w:t>action to be taken in the event of an allegat</w:t>
      </w:r>
      <w:r>
        <w:rPr>
          <w:rFonts w:ascii="Arial" w:eastAsia="ArialMT" w:hAnsi="Arial" w:cs="Arial"/>
          <w:color w:val="000000"/>
        </w:rPr>
        <w:t xml:space="preserve">ion being made against a member </w:t>
      </w:r>
      <w:r w:rsidRPr="00916260">
        <w:rPr>
          <w:rFonts w:ascii="Arial" w:eastAsia="ArialMT" w:hAnsi="Arial" w:cs="Arial"/>
          <w:color w:val="000000"/>
        </w:rPr>
        <w:t>of staff, and cover the use of mobile ph</w:t>
      </w:r>
      <w:r>
        <w:rPr>
          <w:rFonts w:ascii="Arial" w:eastAsia="ArialMT" w:hAnsi="Arial" w:cs="Arial"/>
          <w:color w:val="000000"/>
        </w:rPr>
        <w:t>ones and cameras in the setting</w:t>
      </w:r>
      <w:r w:rsidRPr="00381A1F">
        <w:rPr>
          <w:rFonts w:ascii="Arial" w:eastAsia="ArialMT" w:hAnsi="Arial" w:cs="Arial"/>
          <w:color w:val="000000"/>
        </w:rPr>
        <w:t xml:space="preserve">. </w:t>
      </w:r>
    </w:p>
    <w:p w14:paraId="7F5B7FE2" w14:textId="77777777" w:rsidR="007479B8" w:rsidRPr="00381A1F" w:rsidRDefault="007479B8" w:rsidP="007479B8">
      <w:pPr>
        <w:autoSpaceDE w:val="0"/>
        <w:autoSpaceDN w:val="0"/>
        <w:adjustRightInd w:val="0"/>
        <w:spacing w:after="0" w:line="360" w:lineRule="auto"/>
        <w:jc w:val="both"/>
        <w:rPr>
          <w:rFonts w:ascii="Arial" w:eastAsia="ArialMT" w:hAnsi="Arial" w:cs="Arial"/>
          <w:color w:val="000000"/>
        </w:rPr>
      </w:pPr>
    </w:p>
    <w:p w14:paraId="74460738" w14:textId="77777777" w:rsidR="007479B8" w:rsidRPr="00381A1F" w:rsidRDefault="007479B8" w:rsidP="007479B8">
      <w:pPr>
        <w:autoSpaceDE w:val="0"/>
        <w:autoSpaceDN w:val="0"/>
        <w:adjustRightInd w:val="0"/>
        <w:spacing w:after="0" w:line="360" w:lineRule="auto"/>
        <w:jc w:val="both"/>
        <w:rPr>
          <w:rFonts w:ascii="Arial" w:hAnsi="Arial" w:cs="Arial"/>
          <w:i/>
          <w:iCs/>
          <w:color w:val="000000"/>
        </w:rPr>
      </w:pPr>
    </w:p>
    <w:p w14:paraId="3D8FF4F1" w14:textId="77777777" w:rsidR="007479B8" w:rsidRPr="00381A1F" w:rsidRDefault="007479B8" w:rsidP="007479B8">
      <w:pPr>
        <w:autoSpaceDE w:val="0"/>
        <w:autoSpaceDN w:val="0"/>
        <w:adjustRightInd w:val="0"/>
        <w:spacing w:after="0" w:line="360" w:lineRule="auto"/>
        <w:jc w:val="both"/>
        <w:rPr>
          <w:rFonts w:ascii="Arial" w:hAnsi="Arial" w:cs="Arial"/>
          <w:i/>
          <w:iCs/>
          <w:color w:val="000000"/>
        </w:rPr>
      </w:pPr>
      <w:r w:rsidRPr="00381A1F">
        <w:rPr>
          <w:rFonts w:ascii="Arial" w:hAnsi="Arial" w:cs="Arial"/>
          <w:i/>
          <w:iCs/>
          <w:color w:val="000000"/>
        </w:rPr>
        <w:t>Suitable people</w:t>
      </w:r>
    </w:p>
    <w:p w14:paraId="56B4964B" w14:textId="77777777" w:rsidR="007479B8" w:rsidRPr="00381A1F" w:rsidRDefault="007479B8" w:rsidP="007479B8">
      <w:pPr>
        <w:autoSpaceDE w:val="0"/>
        <w:autoSpaceDN w:val="0"/>
        <w:adjustRightInd w:val="0"/>
        <w:spacing w:after="0" w:line="360" w:lineRule="auto"/>
        <w:jc w:val="both"/>
        <w:rPr>
          <w:rFonts w:ascii="Arial" w:eastAsia="ArialMT" w:hAnsi="Arial" w:cs="Arial"/>
          <w:color w:val="000000"/>
        </w:rPr>
      </w:pPr>
      <w:r w:rsidRPr="00381A1F">
        <w:rPr>
          <w:rFonts w:ascii="Arial" w:eastAsia="ArialMT" w:hAnsi="Arial" w:cs="Arial"/>
          <w:color w:val="000000"/>
        </w:rPr>
        <w:t>Providers must ensure that adults looking after children, or having unsupervised access to them, are suitable to do so. Adults looking after children must have appropriate qualifications, training, skills and knowledge. Staffing arrangements must be organised to ensure safety and to meet the needs of the children. Providers other than childminders must record information about staff qualifications and the identity checks and vetting processes that have been completed (including the criminal records disclosure, reference number, the</w:t>
      </w:r>
    </w:p>
    <w:p w14:paraId="68F6A5CB" w14:textId="77777777" w:rsidR="007479B8" w:rsidRPr="00381A1F" w:rsidRDefault="007479B8" w:rsidP="007479B8">
      <w:pPr>
        <w:autoSpaceDE w:val="0"/>
        <w:autoSpaceDN w:val="0"/>
        <w:adjustRightInd w:val="0"/>
        <w:spacing w:after="0" w:line="360" w:lineRule="auto"/>
        <w:jc w:val="both"/>
        <w:rPr>
          <w:rFonts w:ascii="Arial" w:eastAsia="ArialMT" w:hAnsi="Arial" w:cs="Arial"/>
          <w:color w:val="000000"/>
        </w:rPr>
      </w:pPr>
      <w:r w:rsidRPr="00381A1F">
        <w:rPr>
          <w:rFonts w:ascii="Arial" w:eastAsia="ArialMT" w:hAnsi="Arial" w:cs="Arial"/>
          <w:color w:val="000000"/>
        </w:rPr>
        <w:t xml:space="preserve">date a disclosure was obtained and details of who obtained it). </w:t>
      </w:r>
    </w:p>
    <w:p w14:paraId="594341D3" w14:textId="77777777" w:rsidR="007479B8" w:rsidRDefault="007479B8" w:rsidP="007479B8">
      <w:pPr>
        <w:autoSpaceDE w:val="0"/>
        <w:autoSpaceDN w:val="0"/>
        <w:adjustRightInd w:val="0"/>
        <w:spacing w:after="0" w:line="360" w:lineRule="auto"/>
        <w:jc w:val="both"/>
        <w:rPr>
          <w:rFonts w:ascii="Arial" w:hAnsi="Arial" w:cs="Arial"/>
          <w:i/>
          <w:iCs/>
          <w:color w:val="000000"/>
        </w:rPr>
      </w:pPr>
    </w:p>
    <w:p w14:paraId="044116C5" w14:textId="77777777" w:rsidR="007479B8" w:rsidRDefault="007479B8" w:rsidP="007479B8">
      <w:pPr>
        <w:autoSpaceDE w:val="0"/>
        <w:autoSpaceDN w:val="0"/>
        <w:adjustRightInd w:val="0"/>
        <w:spacing w:after="0" w:line="360" w:lineRule="auto"/>
        <w:jc w:val="both"/>
        <w:rPr>
          <w:rFonts w:ascii="Arial" w:hAnsi="Arial" w:cs="Arial"/>
          <w:i/>
          <w:iCs/>
          <w:color w:val="000000"/>
        </w:rPr>
      </w:pPr>
      <w:r w:rsidRPr="00381A1F">
        <w:rPr>
          <w:rFonts w:ascii="Arial" w:hAnsi="Arial" w:cs="Arial"/>
          <w:i/>
          <w:iCs/>
          <w:color w:val="000000"/>
        </w:rPr>
        <w:t>Suitable premises, environment and equipment</w:t>
      </w:r>
    </w:p>
    <w:p w14:paraId="5013323F" w14:textId="77777777" w:rsidR="007479B8" w:rsidRPr="00381A1F" w:rsidRDefault="007479B8" w:rsidP="007479B8">
      <w:pPr>
        <w:autoSpaceDE w:val="0"/>
        <w:autoSpaceDN w:val="0"/>
        <w:adjustRightInd w:val="0"/>
        <w:spacing w:after="0" w:line="360" w:lineRule="auto"/>
        <w:jc w:val="both"/>
        <w:rPr>
          <w:rFonts w:ascii="Arial" w:eastAsia="ArialMT" w:hAnsi="Arial" w:cs="Arial"/>
          <w:color w:val="000000"/>
        </w:rPr>
      </w:pPr>
      <w:r w:rsidRPr="00381A1F">
        <w:rPr>
          <w:rFonts w:ascii="Arial" w:eastAsia="ArialMT" w:hAnsi="Arial" w:cs="Arial"/>
          <w:color w:val="000000"/>
        </w:rPr>
        <w:t>Outdoor and indoor spaces, furniture, equipment and toys must be safe and suitable for their purpose. Providers must have and implement a policy, and procedures, for administering medicines. The setting must include systems for obtaining information about a child’s needs for medicines, and for keeping this information up-to-date. Medicines must not usually be</w:t>
      </w:r>
    </w:p>
    <w:p w14:paraId="0B7B7AF3" w14:textId="77777777" w:rsidR="007479B8" w:rsidRPr="00381A1F" w:rsidRDefault="007479B8" w:rsidP="007479B8">
      <w:pPr>
        <w:autoSpaceDE w:val="0"/>
        <w:autoSpaceDN w:val="0"/>
        <w:adjustRightInd w:val="0"/>
        <w:spacing w:after="0" w:line="360" w:lineRule="auto"/>
        <w:jc w:val="both"/>
        <w:rPr>
          <w:rFonts w:ascii="Arial" w:eastAsia="ArialMT" w:hAnsi="Arial" w:cs="Arial"/>
          <w:color w:val="000000"/>
        </w:rPr>
      </w:pPr>
      <w:r w:rsidRPr="00381A1F">
        <w:rPr>
          <w:rFonts w:ascii="Arial" w:eastAsia="ArialMT" w:hAnsi="Arial" w:cs="Arial"/>
          <w:color w:val="000000"/>
        </w:rPr>
        <w:t>administered unless they have been prescribed for a child by a doctor, dentist, nurse or pharmacist (medicines containing aspirin should only be given if prescribed by a doctor).  The snacks we provide for children and drinks we provide for children must be healthy and nutritious. Before a child is admitted to the setting we will ensure we are aware of any dietary requirements, preferences to food or special health requirements. The setting will ensure every child has a key worker to ensure their individual needs are met and the sett</w:t>
      </w:r>
      <w:r>
        <w:rPr>
          <w:rFonts w:ascii="Arial" w:eastAsia="ArialMT" w:hAnsi="Arial" w:cs="Arial"/>
          <w:color w:val="000000"/>
        </w:rPr>
        <w:t>ing will also ensure that staff</w:t>
      </w:r>
      <w:r w:rsidRPr="00381A1F">
        <w:rPr>
          <w:rFonts w:ascii="Arial" w:eastAsia="ArialMT" w:hAnsi="Arial" w:cs="Arial"/>
          <w:color w:val="000000"/>
        </w:rPr>
        <w:t xml:space="preserve"> to child ratios are met.</w:t>
      </w:r>
    </w:p>
    <w:p w14:paraId="1B286A83" w14:textId="77777777" w:rsidR="007479B8" w:rsidRPr="00381A1F" w:rsidRDefault="007479B8" w:rsidP="007479B8">
      <w:pPr>
        <w:autoSpaceDE w:val="0"/>
        <w:autoSpaceDN w:val="0"/>
        <w:adjustRightInd w:val="0"/>
        <w:spacing w:after="0" w:line="360" w:lineRule="auto"/>
        <w:jc w:val="both"/>
        <w:rPr>
          <w:rFonts w:ascii="Arial" w:hAnsi="Arial" w:cs="Arial"/>
          <w:i/>
          <w:iCs/>
          <w:color w:val="000000"/>
        </w:rPr>
      </w:pPr>
    </w:p>
    <w:p w14:paraId="788AD9D6" w14:textId="77777777" w:rsidR="007479B8" w:rsidRPr="00381A1F" w:rsidRDefault="007479B8" w:rsidP="007479B8">
      <w:pPr>
        <w:autoSpaceDE w:val="0"/>
        <w:autoSpaceDN w:val="0"/>
        <w:adjustRightInd w:val="0"/>
        <w:spacing w:after="0" w:line="360" w:lineRule="auto"/>
        <w:jc w:val="both"/>
        <w:rPr>
          <w:rFonts w:ascii="Arial" w:hAnsi="Arial" w:cs="Arial"/>
          <w:i/>
          <w:iCs/>
          <w:color w:val="000000"/>
        </w:rPr>
      </w:pPr>
      <w:r w:rsidRPr="00381A1F">
        <w:rPr>
          <w:rFonts w:ascii="Arial" w:hAnsi="Arial" w:cs="Arial"/>
          <w:i/>
          <w:iCs/>
          <w:color w:val="000000"/>
        </w:rPr>
        <w:t>Organisation</w:t>
      </w:r>
    </w:p>
    <w:p w14:paraId="01D3D411" w14:textId="77777777" w:rsidR="007479B8" w:rsidRPr="00381A1F" w:rsidRDefault="007479B8" w:rsidP="007479B8">
      <w:pPr>
        <w:autoSpaceDE w:val="0"/>
        <w:autoSpaceDN w:val="0"/>
        <w:adjustRightInd w:val="0"/>
        <w:spacing w:after="0" w:line="360" w:lineRule="auto"/>
        <w:jc w:val="both"/>
        <w:rPr>
          <w:rFonts w:ascii="Arial" w:eastAsia="ArialMT" w:hAnsi="Arial" w:cs="Arial"/>
          <w:color w:val="000000"/>
        </w:rPr>
      </w:pPr>
      <w:r w:rsidRPr="00381A1F">
        <w:rPr>
          <w:rFonts w:ascii="Arial" w:eastAsia="ArialMT" w:hAnsi="Arial" w:cs="Arial"/>
          <w:color w:val="000000"/>
        </w:rPr>
        <w:t>Providers must plan and organise their systems to ensure that every child receives an enjoyable and challenging learning and development experience that is tailored to meet their individual needs.</w:t>
      </w:r>
      <w:r>
        <w:rPr>
          <w:rFonts w:ascii="Arial" w:eastAsia="ArialMT" w:hAnsi="Arial" w:cs="Arial"/>
          <w:color w:val="000000"/>
        </w:rPr>
        <w:t xml:space="preserve"> </w:t>
      </w:r>
    </w:p>
    <w:p w14:paraId="367B4440" w14:textId="77777777" w:rsidR="007479B8" w:rsidRPr="00381A1F" w:rsidRDefault="007479B8" w:rsidP="007479B8">
      <w:pPr>
        <w:autoSpaceDE w:val="0"/>
        <w:autoSpaceDN w:val="0"/>
        <w:adjustRightInd w:val="0"/>
        <w:spacing w:after="0" w:line="360" w:lineRule="auto"/>
        <w:jc w:val="both"/>
        <w:rPr>
          <w:rFonts w:ascii="Arial" w:hAnsi="Arial" w:cs="Arial"/>
          <w:i/>
          <w:iCs/>
          <w:color w:val="000000"/>
        </w:rPr>
      </w:pPr>
    </w:p>
    <w:p w14:paraId="31F62E4F" w14:textId="77777777" w:rsidR="007479B8" w:rsidRPr="00381A1F" w:rsidRDefault="007479B8" w:rsidP="007479B8">
      <w:pPr>
        <w:autoSpaceDE w:val="0"/>
        <w:autoSpaceDN w:val="0"/>
        <w:adjustRightInd w:val="0"/>
        <w:spacing w:after="0" w:line="360" w:lineRule="auto"/>
        <w:jc w:val="both"/>
        <w:rPr>
          <w:rFonts w:ascii="Arial" w:hAnsi="Arial" w:cs="Arial"/>
          <w:i/>
          <w:iCs/>
          <w:color w:val="000000"/>
        </w:rPr>
      </w:pPr>
      <w:r w:rsidRPr="00381A1F">
        <w:rPr>
          <w:rFonts w:ascii="Arial" w:hAnsi="Arial" w:cs="Arial"/>
          <w:i/>
          <w:iCs/>
          <w:color w:val="000000"/>
        </w:rPr>
        <w:lastRenderedPageBreak/>
        <w:t>Documentation</w:t>
      </w:r>
    </w:p>
    <w:p w14:paraId="4C5B5C1F" w14:textId="77777777" w:rsidR="007479B8" w:rsidRDefault="007479B8" w:rsidP="007479B8">
      <w:pPr>
        <w:autoSpaceDE w:val="0"/>
        <w:autoSpaceDN w:val="0"/>
        <w:adjustRightInd w:val="0"/>
        <w:spacing w:after="0" w:line="360" w:lineRule="auto"/>
        <w:jc w:val="both"/>
        <w:rPr>
          <w:rFonts w:ascii="Arial" w:eastAsia="ArialMT" w:hAnsi="Arial" w:cs="Arial"/>
          <w:color w:val="000000"/>
        </w:rPr>
      </w:pPr>
      <w:r w:rsidRPr="00381A1F">
        <w:rPr>
          <w:rFonts w:ascii="Arial" w:eastAsia="ArialMT" w:hAnsi="Arial" w:cs="Arial"/>
          <w:color w:val="000000"/>
        </w:rPr>
        <w:t>Providers must maintain records, policies and procedures required for the safe and efficient management of the setting and to meet the needs of children. Providers must maintain records and obtain and share information with parents and carers, other professionals working with child</w:t>
      </w:r>
      <w:r>
        <w:rPr>
          <w:rFonts w:ascii="Arial" w:eastAsia="ArialMT" w:hAnsi="Arial" w:cs="Arial"/>
          <w:color w:val="000000"/>
        </w:rPr>
        <w:t>ren</w:t>
      </w:r>
      <w:r w:rsidRPr="00381A1F">
        <w:rPr>
          <w:rFonts w:ascii="Arial" w:eastAsia="ArialMT" w:hAnsi="Arial" w:cs="Arial"/>
          <w:color w:val="000000"/>
        </w:rPr>
        <w:t>, the police, social services and</w:t>
      </w:r>
      <w:r>
        <w:rPr>
          <w:rFonts w:ascii="Arial" w:eastAsia="ArialMT" w:hAnsi="Arial" w:cs="Arial"/>
          <w:color w:val="000000"/>
        </w:rPr>
        <w:t xml:space="preserve"> the</w:t>
      </w:r>
      <w:r w:rsidRPr="00381A1F">
        <w:rPr>
          <w:rFonts w:ascii="Arial" w:eastAsia="ArialMT" w:hAnsi="Arial" w:cs="Arial"/>
          <w:color w:val="000000"/>
        </w:rPr>
        <w:t xml:space="preserve"> </w:t>
      </w:r>
      <w:r w:rsidRPr="00077F17">
        <w:rPr>
          <w:rFonts w:ascii="Arial" w:hAnsi="Arial" w:cs="Arial"/>
        </w:rPr>
        <w:t>Office for Standards in Education, Children’s Services and Skills</w:t>
      </w:r>
      <w:r>
        <w:rPr>
          <w:rFonts w:ascii="Arial" w:hAnsi="Arial" w:cs="Arial"/>
        </w:rPr>
        <w:t xml:space="preserve"> (</w:t>
      </w:r>
      <w:r w:rsidRPr="00077F17">
        <w:rPr>
          <w:rFonts w:ascii="Arial" w:eastAsia="ArialMT" w:hAnsi="Arial" w:cs="Arial"/>
          <w:color w:val="000000"/>
        </w:rPr>
        <w:t>Ofsted</w:t>
      </w:r>
      <w:r>
        <w:rPr>
          <w:rFonts w:ascii="Arial" w:eastAsia="ArialMT" w:hAnsi="Arial" w:cs="Arial"/>
          <w:color w:val="000000"/>
        </w:rPr>
        <w:t xml:space="preserve">), </w:t>
      </w:r>
      <w:r w:rsidRPr="00381A1F">
        <w:rPr>
          <w:rFonts w:ascii="Arial" w:eastAsia="ArialMT" w:hAnsi="Arial" w:cs="Arial"/>
          <w:color w:val="000000"/>
        </w:rPr>
        <w:t>to ensure the safe and efficient management of the setting, and to help ensure that children’s needs are met fully. Providers must meet all the statutory requirements and have regard to statutory guidance. The policies and procedures within this working document have been organised under the general requirements set out by government legislation. Also included are policies or procedures that we consider to be good practice. Where ever possible we have applied links to the corresponding EYFS</w:t>
      </w:r>
      <w:r>
        <w:rPr>
          <w:rFonts w:ascii="Arial" w:eastAsia="ArialMT" w:hAnsi="Arial" w:cs="Arial"/>
          <w:color w:val="000000"/>
        </w:rPr>
        <w:t>.</w:t>
      </w:r>
    </w:p>
    <w:p w14:paraId="67E9FFC7" w14:textId="77777777" w:rsidR="007479B8" w:rsidRDefault="007479B8" w:rsidP="007479B8">
      <w:pPr>
        <w:autoSpaceDE w:val="0"/>
        <w:autoSpaceDN w:val="0"/>
        <w:adjustRightInd w:val="0"/>
        <w:spacing w:after="0" w:line="360" w:lineRule="auto"/>
        <w:jc w:val="both"/>
        <w:rPr>
          <w:rFonts w:ascii="Arial" w:eastAsia="ArialMT" w:hAnsi="Arial" w:cs="Arial"/>
          <w:color w:val="000000"/>
        </w:rPr>
      </w:pPr>
    </w:p>
    <w:p w14:paraId="1706726D" w14:textId="77777777" w:rsidR="007479B8" w:rsidRDefault="007479B8" w:rsidP="007479B8">
      <w:pPr>
        <w:autoSpaceDE w:val="0"/>
        <w:autoSpaceDN w:val="0"/>
        <w:adjustRightInd w:val="0"/>
        <w:spacing w:after="0" w:line="360" w:lineRule="auto"/>
        <w:jc w:val="both"/>
        <w:rPr>
          <w:rFonts w:ascii="Arial" w:eastAsia="ArialMT" w:hAnsi="Arial" w:cs="Arial"/>
          <w:color w:val="000000"/>
        </w:rPr>
      </w:pPr>
      <w:r>
        <w:rPr>
          <w:rFonts w:ascii="Arial" w:eastAsia="ArialMT" w:hAnsi="Arial" w:cs="Arial"/>
          <w:color w:val="000000"/>
        </w:rPr>
        <w:t xml:space="preserve">Guidance found in the: </w:t>
      </w:r>
    </w:p>
    <w:p w14:paraId="6D60801C" w14:textId="77777777" w:rsidR="007479B8" w:rsidRDefault="007479B8" w:rsidP="007479B8">
      <w:pPr>
        <w:autoSpaceDE w:val="0"/>
        <w:autoSpaceDN w:val="0"/>
        <w:adjustRightInd w:val="0"/>
        <w:spacing w:after="0" w:line="360" w:lineRule="auto"/>
        <w:jc w:val="both"/>
        <w:rPr>
          <w:rFonts w:ascii="Arial" w:eastAsia="ArialMT" w:hAnsi="Arial" w:cs="Arial"/>
          <w:color w:val="000000"/>
        </w:rPr>
      </w:pPr>
      <w:r>
        <w:rPr>
          <w:rFonts w:ascii="Arial" w:eastAsia="ArialMT" w:hAnsi="Arial" w:cs="Arial"/>
          <w:color w:val="000000"/>
        </w:rPr>
        <w:t xml:space="preserve">Statutory Framework for the Early Years </w:t>
      </w:r>
      <w:r w:rsidRPr="00916260">
        <w:rPr>
          <w:rFonts w:ascii="Arial" w:eastAsia="ArialMT" w:hAnsi="Arial" w:cs="Arial"/>
          <w:color w:val="000000"/>
        </w:rPr>
        <w:t>Foundati</w:t>
      </w:r>
      <w:r>
        <w:rPr>
          <w:rFonts w:ascii="Arial" w:eastAsia="ArialMT" w:hAnsi="Arial" w:cs="Arial"/>
          <w:color w:val="000000"/>
        </w:rPr>
        <w:t xml:space="preserve">on </w:t>
      </w:r>
      <w:r w:rsidRPr="00916260">
        <w:rPr>
          <w:rFonts w:ascii="Arial" w:eastAsia="ArialMT" w:hAnsi="Arial" w:cs="Arial"/>
          <w:color w:val="000000"/>
        </w:rPr>
        <w:t xml:space="preserve">Stage </w:t>
      </w:r>
    </w:p>
    <w:p w14:paraId="4F1ED43B" w14:textId="4476BE80" w:rsidR="00093EE7" w:rsidRDefault="007479B8" w:rsidP="007479B8">
      <w:pPr>
        <w:autoSpaceDE w:val="0"/>
        <w:autoSpaceDN w:val="0"/>
        <w:adjustRightInd w:val="0"/>
        <w:spacing w:after="0" w:line="360" w:lineRule="auto"/>
        <w:jc w:val="both"/>
        <w:rPr>
          <w:rFonts w:ascii="Arial" w:eastAsia="ArialMT" w:hAnsi="Arial" w:cs="Arial"/>
          <w:color w:val="000000"/>
        </w:rPr>
      </w:pPr>
      <w:r w:rsidRPr="00916260">
        <w:rPr>
          <w:rFonts w:ascii="Arial" w:eastAsia="ArialMT" w:hAnsi="Arial" w:cs="Arial"/>
          <w:color w:val="000000"/>
        </w:rPr>
        <w:t>Department for Education</w:t>
      </w:r>
      <w:r>
        <w:rPr>
          <w:rFonts w:ascii="Arial" w:eastAsia="ArialMT" w:hAnsi="Arial" w:cs="Arial"/>
          <w:color w:val="000000"/>
        </w:rPr>
        <w:t xml:space="preserve"> 20</w:t>
      </w:r>
      <w:r w:rsidR="0073576B">
        <w:rPr>
          <w:rFonts w:ascii="Arial" w:eastAsia="ArialMT" w:hAnsi="Arial" w:cs="Arial"/>
          <w:color w:val="000000"/>
        </w:rPr>
        <w:t>21</w:t>
      </w:r>
      <w:bookmarkStart w:id="1" w:name="_GoBack"/>
      <w:bookmarkEnd w:id="1"/>
    </w:p>
    <w:p w14:paraId="198CE6C5" w14:textId="1890ED22" w:rsidR="003F3601" w:rsidRPr="007479B8" w:rsidRDefault="00093EE7" w:rsidP="007479B8">
      <w:pPr>
        <w:autoSpaceDE w:val="0"/>
        <w:autoSpaceDN w:val="0"/>
        <w:adjustRightInd w:val="0"/>
        <w:spacing w:after="0" w:line="360" w:lineRule="auto"/>
        <w:jc w:val="both"/>
        <w:rPr>
          <w:rFonts w:ascii="Arial" w:eastAsia="ArialMT" w:hAnsi="Arial" w:cs="Arial"/>
          <w:color w:val="000000"/>
        </w:rPr>
      </w:pPr>
      <w:r>
        <w:rPr>
          <w:rFonts w:ascii="Arial" w:eastAsia="ArialMT" w:hAnsi="Arial" w:cs="Arial"/>
          <w:color w:val="000000"/>
        </w:rPr>
        <w:t>Working Together to Safeguard Children 2018</w:t>
      </w:r>
    </w:p>
    <w:sectPr w:rsidR="003F3601" w:rsidRPr="007479B8" w:rsidSect="003F36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02984"/>
    <w:multiLevelType w:val="hybridMultilevel"/>
    <w:tmpl w:val="7444C624"/>
    <w:lvl w:ilvl="0" w:tplc="850CB782">
      <w:numFmt w:val="bullet"/>
      <w:lvlText w:val=""/>
      <w:lvlJc w:val="left"/>
      <w:pPr>
        <w:ind w:left="720" w:hanging="360"/>
      </w:pPr>
      <w:rPr>
        <w:rFonts w:ascii="Comic Sans MS" w:eastAsiaTheme="minorHAnsi" w:hAnsi="Comic Sans MS"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715A1A"/>
    <w:multiLevelType w:val="hybridMultilevel"/>
    <w:tmpl w:val="9B22FEF4"/>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9B8"/>
    <w:rsid w:val="00093EE7"/>
    <w:rsid w:val="002132DE"/>
    <w:rsid w:val="0025659F"/>
    <w:rsid w:val="00297BD1"/>
    <w:rsid w:val="003A4327"/>
    <w:rsid w:val="003F3601"/>
    <w:rsid w:val="004741FD"/>
    <w:rsid w:val="0073576B"/>
    <w:rsid w:val="007479B8"/>
    <w:rsid w:val="00A4181E"/>
    <w:rsid w:val="00B95E5C"/>
    <w:rsid w:val="00C36FD5"/>
    <w:rsid w:val="00C90A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74FFA"/>
  <w15:docId w15:val="{8ED3FFAE-DE76-4D0D-B9CB-D06207555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9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79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9B8"/>
    <w:rPr>
      <w:rFonts w:ascii="Tahoma" w:hAnsi="Tahoma" w:cs="Tahoma"/>
      <w:sz w:val="16"/>
      <w:szCs w:val="16"/>
    </w:rPr>
  </w:style>
  <w:style w:type="character" w:styleId="Hyperlink">
    <w:name w:val="Hyperlink"/>
    <w:basedOn w:val="DefaultParagraphFont"/>
    <w:uiPriority w:val="99"/>
    <w:unhideWhenUsed/>
    <w:rsid w:val="007479B8"/>
    <w:rPr>
      <w:color w:val="0000FF" w:themeColor="hyperlink"/>
      <w:u w:val="single"/>
    </w:rPr>
  </w:style>
  <w:style w:type="table" w:styleId="TableGrid">
    <w:name w:val="Table Grid"/>
    <w:basedOn w:val="TableNormal"/>
    <w:uiPriority w:val="59"/>
    <w:unhideWhenUsed/>
    <w:rsid w:val="00B95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6F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ndbachheathplaygroup@btconnect.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1149</TotalTime>
  <Pages>1</Pages>
  <Words>922</Words>
  <Characters>5260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user</dc:creator>
  <cp:keywords/>
  <dc:description/>
  <cp:lastModifiedBy>Acer user</cp:lastModifiedBy>
  <cp:revision>3</cp:revision>
  <cp:lastPrinted>2021-08-30T09:19:00Z</cp:lastPrinted>
  <dcterms:created xsi:type="dcterms:W3CDTF">2017-04-12T07:42:00Z</dcterms:created>
  <dcterms:modified xsi:type="dcterms:W3CDTF">2021-08-30T09:26:00Z</dcterms:modified>
</cp:coreProperties>
</file>